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13E2A" w14:textId="790ABBE1" w:rsidR="004B3943" w:rsidRDefault="004B3943" w:rsidP="004B3943">
      <w:pPr>
        <w:pStyle w:val="1"/>
        <w:jc w:val="center"/>
        <w:rPr>
          <w:rFonts w:cs="Calibri"/>
          <w:b/>
          <w:color w:val="000000"/>
          <w:sz w:val="28"/>
          <w:szCs w:val="28"/>
        </w:rPr>
      </w:pPr>
      <w:r>
        <w:rPr>
          <w:rFonts w:cs="Calibri"/>
          <w:b/>
          <w:color w:val="000000"/>
          <w:sz w:val="28"/>
          <w:szCs w:val="28"/>
        </w:rPr>
        <w:t>МОТИВИ</w:t>
      </w:r>
    </w:p>
    <w:p w14:paraId="7EBF9720" w14:textId="0FD1114C" w:rsidR="002F5EA1" w:rsidRDefault="004B3943" w:rsidP="004B3943">
      <w:pPr>
        <w:pStyle w:val="1"/>
        <w:jc w:val="center"/>
      </w:pPr>
      <w:r>
        <w:rPr>
          <w:rFonts w:cs="Calibri"/>
          <w:b/>
          <w:color w:val="000000"/>
          <w:sz w:val="28"/>
          <w:szCs w:val="28"/>
        </w:rPr>
        <w:t>за приемане на общ административен акт</w:t>
      </w:r>
    </w:p>
    <w:p w14:paraId="1715B13F" w14:textId="77777777" w:rsidR="002F5EA1" w:rsidRDefault="002F5EA1" w:rsidP="00FF37B7">
      <w:pPr>
        <w:pStyle w:val="1"/>
      </w:pPr>
    </w:p>
    <w:p w14:paraId="363D72DD" w14:textId="6B36CEA1" w:rsidR="002F5EA1" w:rsidRPr="0014629D" w:rsidRDefault="000C0962" w:rsidP="00FF37B7">
      <w:pPr>
        <w:pStyle w:val="1"/>
      </w:pPr>
      <w:r w:rsidRPr="0014629D">
        <w:rPr>
          <w:rStyle w:val="10"/>
          <w:rFonts w:ascii="Times New Roman" w:hAnsi="Times New Roman"/>
          <w:bCs/>
          <w:sz w:val="28"/>
          <w:szCs w:val="28"/>
        </w:rPr>
        <w:t>Общественият транспорт е ключов елемент от функционирането на един град, като оказва съществено влияние не само върху</w:t>
      </w:r>
      <w:r w:rsidR="00A90E26" w:rsidRPr="0014629D">
        <w:rPr>
          <w:rStyle w:val="10"/>
          <w:rFonts w:ascii="Times New Roman" w:hAnsi="Times New Roman"/>
          <w:bCs/>
          <w:sz w:val="28"/>
          <w:szCs w:val="28"/>
        </w:rPr>
        <w:t xml:space="preserve"> </w:t>
      </w:r>
      <w:r w:rsidR="007543EA" w:rsidRPr="0014629D">
        <w:rPr>
          <w:rStyle w:val="10"/>
          <w:rFonts w:ascii="Times New Roman" w:hAnsi="Times New Roman"/>
          <w:bCs/>
          <w:sz w:val="28"/>
          <w:szCs w:val="28"/>
        </w:rPr>
        <w:t>транспортните потоци</w:t>
      </w:r>
      <w:r w:rsidRPr="0014629D">
        <w:rPr>
          <w:rStyle w:val="10"/>
          <w:rFonts w:ascii="Times New Roman" w:hAnsi="Times New Roman"/>
          <w:bCs/>
          <w:sz w:val="28"/>
          <w:szCs w:val="28"/>
        </w:rPr>
        <w:t>, но и върху екологията, икономиката и редица други сфери на дейност.</w:t>
      </w:r>
    </w:p>
    <w:p w14:paraId="6E6C4BDE" w14:textId="62266D3A" w:rsidR="002F5EA1" w:rsidRPr="0014629D" w:rsidRDefault="000C0962" w:rsidP="00FF37B7">
      <w:pPr>
        <w:pStyle w:val="1"/>
        <w:rPr>
          <w:rFonts w:ascii="Times New Roman" w:hAnsi="Times New Roman"/>
          <w:bCs/>
          <w:sz w:val="28"/>
          <w:szCs w:val="28"/>
        </w:rPr>
      </w:pPr>
      <w:r w:rsidRPr="0014629D">
        <w:rPr>
          <w:rFonts w:ascii="Times New Roman" w:hAnsi="Times New Roman"/>
          <w:bCs/>
          <w:sz w:val="28"/>
          <w:szCs w:val="28"/>
        </w:rPr>
        <w:t>Въпреки, че в последните години бяха инвестирани значителни средства в обновяването</w:t>
      </w:r>
      <w:r w:rsidR="00A90E26" w:rsidRPr="0014629D">
        <w:rPr>
          <w:rFonts w:ascii="Times New Roman" w:hAnsi="Times New Roman"/>
          <w:bCs/>
          <w:sz w:val="28"/>
          <w:szCs w:val="28"/>
        </w:rPr>
        <w:t xml:space="preserve"> </w:t>
      </w:r>
      <w:r w:rsidRPr="0014629D">
        <w:rPr>
          <w:rFonts w:ascii="Times New Roman" w:hAnsi="Times New Roman"/>
          <w:bCs/>
          <w:sz w:val="28"/>
          <w:szCs w:val="28"/>
        </w:rPr>
        <w:t>на</w:t>
      </w:r>
      <w:r w:rsidR="00C361D8" w:rsidRPr="0014629D">
        <w:rPr>
          <w:rFonts w:ascii="Times New Roman" w:hAnsi="Times New Roman"/>
          <w:bCs/>
          <w:sz w:val="28"/>
          <w:szCs w:val="28"/>
        </w:rPr>
        <w:t xml:space="preserve"> градските автобуси</w:t>
      </w:r>
      <w:r w:rsidRPr="0014629D">
        <w:rPr>
          <w:rFonts w:ascii="Times New Roman" w:hAnsi="Times New Roman"/>
          <w:bCs/>
          <w:sz w:val="28"/>
          <w:szCs w:val="28"/>
        </w:rPr>
        <w:t>, това не доведе до  увеличаване на пътникопотока, но  подобри вида и качеството на предлаганата услуга , както и оказа влияние върху качеството на атмосферния въздух чрез намаляване на вредните емисии и фини прахови частици от превозните средства.</w:t>
      </w:r>
    </w:p>
    <w:p w14:paraId="4BA77DB5" w14:textId="77777777" w:rsidR="002F5EA1" w:rsidRDefault="002F5EA1" w:rsidP="00FF37B7">
      <w:pPr>
        <w:pStyle w:val="1"/>
        <w:rPr>
          <w:rFonts w:ascii="Times New Roman" w:hAnsi="Times New Roman"/>
          <w:bCs/>
          <w:color w:val="000000"/>
          <w:sz w:val="28"/>
          <w:szCs w:val="28"/>
        </w:rPr>
      </w:pPr>
    </w:p>
    <w:p w14:paraId="738E5E8B" w14:textId="37EF890C" w:rsidR="002F5EA1" w:rsidRDefault="000C0962" w:rsidP="00FF37B7">
      <w:pPr>
        <w:pStyle w:val="1"/>
        <w:suppressAutoHyphens w:val="0"/>
        <w:spacing w:after="160"/>
        <w:textAlignment w:val="auto"/>
      </w:pPr>
      <w:r>
        <w:rPr>
          <w:rStyle w:val="10"/>
          <w:rFonts w:ascii="Times New Roman" w:eastAsia="Calibri" w:hAnsi="Times New Roman"/>
          <w:b/>
          <w:bCs/>
          <w:sz w:val="28"/>
          <w:szCs w:val="28"/>
        </w:rPr>
        <w:t>Таблица 1:</w:t>
      </w:r>
      <w:r>
        <w:rPr>
          <w:rStyle w:val="10"/>
          <w:rFonts w:ascii="Times New Roman" w:eastAsia="Calibri" w:hAnsi="Times New Roman"/>
          <w:sz w:val="28"/>
          <w:szCs w:val="28"/>
        </w:rPr>
        <w:t xml:space="preserve"> Превозени пътници </w:t>
      </w:r>
      <w:r w:rsidR="0014629D">
        <w:rPr>
          <w:rStyle w:val="10"/>
          <w:rFonts w:ascii="Times New Roman" w:eastAsia="Calibri" w:hAnsi="Times New Roman"/>
          <w:sz w:val="28"/>
          <w:szCs w:val="28"/>
        </w:rPr>
        <w:t>в обществения транспорт</w:t>
      </w:r>
    </w:p>
    <w:p w14:paraId="37CDF9E0" w14:textId="77777777" w:rsidR="002F5EA1" w:rsidRDefault="000C0962" w:rsidP="00FF37B7">
      <w:pPr>
        <w:pStyle w:val="1"/>
        <w:suppressAutoHyphens w:val="0"/>
        <w:spacing w:after="160"/>
        <w:textAlignment w:val="auto"/>
      </w:pPr>
      <w:r>
        <w:rPr>
          <w:rStyle w:val="10"/>
          <w:rFonts w:ascii="Times New Roman" w:eastAsia="Calibri" w:hAnsi="Times New Roman"/>
          <w:sz w:val="28"/>
          <w:szCs w:val="28"/>
        </w:rPr>
        <w:tab/>
      </w:r>
      <w:r>
        <w:rPr>
          <w:rStyle w:val="10"/>
          <w:rFonts w:ascii="Times New Roman" w:eastAsia="Calibri" w:hAnsi="Times New Roman"/>
          <w:sz w:val="28"/>
          <w:szCs w:val="28"/>
        </w:rPr>
        <w:tab/>
      </w:r>
      <w:r>
        <w:rPr>
          <w:rStyle w:val="10"/>
          <w:rFonts w:ascii="Times New Roman" w:eastAsia="Calibri" w:hAnsi="Times New Roman"/>
          <w:sz w:val="28"/>
          <w:szCs w:val="28"/>
        </w:rPr>
        <w:tab/>
      </w:r>
    </w:p>
    <w:tbl>
      <w:tblPr>
        <w:tblW w:w="65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7"/>
        <w:gridCol w:w="1537"/>
        <w:gridCol w:w="1677"/>
        <w:gridCol w:w="1677"/>
      </w:tblGrid>
      <w:tr w:rsidR="002F5EA1" w14:paraId="63FA7487" w14:textId="77777777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7D81E" w14:textId="77777777" w:rsidR="002F5EA1" w:rsidRDefault="000C0962" w:rsidP="00FF37B7">
            <w:pPr>
              <w:pStyle w:val="1"/>
            </w:pPr>
            <w:r>
              <w:rPr>
                <w:rStyle w:val="10"/>
                <w:rFonts w:ascii="Times New Roman" w:hAnsi="Times New Roman"/>
                <w:sz w:val="28"/>
                <w:szCs w:val="28"/>
                <w:lang w:val="en-US"/>
              </w:rPr>
              <w:t>2018</w:t>
            </w:r>
            <w:r>
              <w:rPr>
                <w:rStyle w:val="10"/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AFDA0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2019г.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08704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2020г.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87E84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</w:tr>
      <w:tr w:rsidR="002F5EA1" w14:paraId="7B498E08" w14:textId="77777777"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5526F" w14:textId="13A0DAB5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917BAD">
              <w:rPr>
                <w:rFonts w:ascii="Times New Roman" w:hAnsi="Times New Roman"/>
                <w:sz w:val="28"/>
                <w:szCs w:val="28"/>
              </w:rPr>
              <w:t>515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83BAC" w14:textId="04366BF2" w:rsidR="002F5EA1" w:rsidRDefault="00917BAD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4238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1D09" w14:textId="144DBA54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17BAD">
              <w:rPr>
                <w:rFonts w:ascii="Times New Roman" w:hAnsi="Times New Roman"/>
                <w:sz w:val="28"/>
                <w:szCs w:val="28"/>
              </w:rPr>
              <w:t>828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BD28" w14:textId="531935DC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17BAD">
              <w:rPr>
                <w:rFonts w:ascii="Times New Roman" w:hAnsi="Times New Roman"/>
                <w:sz w:val="28"/>
                <w:szCs w:val="28"/>
              </w:rPr>
              <w:t>667</w:t>
            </w:r>
          </w:p>
        </w:tc>
      </w:tr>
    </w:tbl>
    <w:p w14:paraId="4FDAB554" w14:textId="77777777" w:rsidR="002F5EA1" w:rsidRDefault="002F5EA1" w:rsidP="00FF37B7">
      <w:pPr>
        <w:pStyle w:val="1"/>
        <w:rPr>
          <w:rFonts w:ascii="Times New Roman" w:hAnsi="Times New Roman"/>
          <w:bCs/>
          <w:color w:val="000000"/>
          <w:sz w:val="28"/>
          <w:szCs w:val="28"/>
        </w:rPr>
      </w:pPr>
    </w:p>
    <w:p w14:paraId="146B2B10" w14:textId="230B9FF4" w:rsidR="002F5EA1" w:rsidRPr="0014629D" w:rsidRDefault="000C0962" w:rsidP="00FF37B7">
      <w:pPr>
        <w:pStyle w:val="1"/>
      </w:pPr>
      <w:r>
        <w:rPr>
          <w:rStyle w:val="10"/>
          <w:rFonts w:ascii="Times New Roman" w:hAnsi="Times New Roman"/>
          <w:bCs/>
          <w:color w:val="000000"/>
          <w:sz w:val="28"/>
          <w:szCs w:val="28"/>
        </w:rPr>
        <w:t xml:space="preserve">Благодарение на ежегодно увеличаваните финансови средства от общинския бюджет за 2021г., увеличените субсидии и компенсации от държавата през м. декември 2021г. и финансовото подпомагане по мярката 60/40, дружеството </w:t>
      </w:r>
      <w:r w:rsidRPr="0014629D">
        <w:rPr>
          <w:rStyle w:val="10"/>
          <w:rFonts w:ascii="Times New Roman" w:hAnsi="Times New Roman"/>
          <w:bCs/>
          <w:sz w:val="28"/>
          <w:szCs w:val="28"/>
        </w:rPr>
        <w:t xml:space="preserve">успя да преодолее финансовите затруднения през 2020г и 2021г. и да продължи да изпълнява своите функции. Но това </w:t>
      </w:r>
      <w:r w:rsidR="00C361D8" w:rsidRPr="0014629D">
        <w:rPr>
          <w:rStyle w:val="10"/>
          <w:rFonts w:ascii="Times New Roman" w:hAnsi="Times New Roman"/>
          <w:bCs/>
          <w:sz w:val="28"/>
          <w:szCs w:val="28"/>
        </w:rPr>
        <w:t xml:space="preserve">ясно </w:t>
      </w:r>
      <w:r w:rsidRPr="0014629D">
        <w:rPr>
          <w:rStyle w:val="10"/>
          <w:rFonts w:ascii="Times New Roman" w:hAnsi="Times New Roman"/>
          <w:bCs/>
          <w:sz w:val="28"/>
          <w:szCs w:val="28"/>
        </w:rPr>
        <w:t>показва, че за да съществува и да изпълнява своята социална</w:t>
      </w:r>
      <w:r w:rsidR="00C361D8" w:rsidRPr="0014629D">
        <w:rPr>
          <w:rStyle w:val="10"/>
          <w:rFonts w:ascii="Times New Roman" w:hAnsi="Times New Roman"/>
          <w:bCs/>
          <w:sz w:val="28"/>
          <w:szCs w:val="28"/>
        </w:rPr>
        <w:t xml:space="preserve"> функция</w:t>
      </w:r>
      <w:r w:rsidRPr="0014629D">
        <w:rPr>
          <w:rStyle w:val="10"/>
          <w:rFonts w:ascii="Times New Roman" w:hAnsi="Times New Roman"/>
          <w:bCs/>
          <w:sz w:val="28"/>
          <w:szCs w:val="28"/>
        </w:rPr>
        <w:t xml:space="preserve">, дружеството трябва да бъде </w:t>
      </w:r>
      <w:r w:rsidR="00C361D8" w:rsidRPr="0014629D">
        <w:rPr>
          <w:rStyle w:val="10"/>
          <w:rFonts w:ascii="Times New Roman" w:hAnsi="Times New Roman"/>
          <w:bCs/>
          <w:sz w:val="28"/>
          <w:szCs w:val="28"/>
        </w:rPr>
        <w:t xml:space="preserve">достатъчно </w:t>
      </w:r>
      <w:r w:rsidRPr="0014629D">
        <w:rPr>
          <w:rStyle w:val="10"/>
          <w:rFonts w:ascii="Times New Roman" w:hAnsi="Times New Roman"/>
          <w:bCs/>
          <w:sz w:val="28"/>
          <w:szCs w:val="28"/>
        </w:rPr>
        <w:t xml:space="preserve">добре финансово обезпечено от държавата и общината, </w:t>
      </w:r>
      <w:r w:rsidR="00C361D8" w:rsidRPr="0014629D">
        <w:rPr>
          <w:rStyle w:val="10"/>
          <w:rFonts w:ascii="Times New Roman" w:hAnsi="Times New Roman"/>
          <w:bCs/>
          <w:sz w:val="28"/>
          <w:szCs w:val="28"/>
        </w:rPr>
        <w:t xml:space="preserve">и да не </w:t>
      </w:r>
      <w:r w:rsidRPr="0014629D">
        <w:rPr>
          <w:rStyle w:val="10"/>
          <w:rFonts w:ascii="Times New Roman" w:hAnsi="Times New Roman"/>
          <w:bCs/>
          <w:sz w:val="28"/>
          <w:szCs w:val="28"/>
        </w:rPr>
        <w:t>разчита само на собствените си приходи.</w:t>
      </w:r>
    </w:p>
    <w:p w14:paraId="6E5FCC97" w14:textId="1B08E6D4" w:rsidR="002F5EA1" w:rsidRDefault="000C0962" w:rsidP="00FF37B7">
      <w:pPr>
        <w:pStyle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Изпълнявайки своята основна дейност </w:t>
      </w:r>
      <w:r w:rsidR="00C361D8" w:rsidRPr="0014629D">
        <w:rPr>
          <w:rFonts w:ascii="Times New Roman" w:hAnsi="Times New Roman"/>
          <w:bCs/>
          <w:sz w:val="28"/>
          <w:szCs w:val="28"/>
        </w:rPr>
        <w:t>-</w:t>
      </w:r>
      <w:r w:rsidR="00C361D8" w:rsidRPr="00C361D8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обществен превоз на пътници, транспортните средства на дружеството изпълняват 18 градски линии и 21 междуселищни, като изминават годишно 1 349 хил. км. градски пробег и 706 хил. км. междуселищен пробег.</w:t>
      </w:r>
      <w:r w:rsidR="000E6367">
        <w:rPr>
          <w:rFonts w:ascii="Times New Roman" w:hAnsi="Times New Roman"/>
          <w:bCs/>
          <w:color w:val="000000"/>
          <w:sz w:val="28"/>
          <w:szCs w:val="28"/>
        </w:rPr>
        <w:t xml:space="preserve"> З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 изпълнение на </w:t>
      </w:r>
      <w:r w:rsidR="000E6367">
        <w:rPr>
          <w:rFonts w:ascii="Times New Roman" w:hAnsi="Times New Roman"/>
          <w:bCs/>
          <w:color w:val="000000"/>
          <w:sz w:val="28"/>
          <w:szCs w:val="28"/>
        </w:rPr>
        <w:t>тази дейност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в дружеството са изразходвани:</w:t>
      </w:r>
    </w:p>
    <w:p w14:paraId="6C38BD81" w14:textId="77777777" w:rsidR="002F5EA1" w:rsidRDefault="002F5EA1" w:rsidP="00FF37B7">
      <w:pPr>
        <w:pStyle w:val="1"/>
        <w:rPr>
          <w:rFonts w:ascii="Times New Roman" w:hAnsi="Times New Roman"/>
          <w:sz w:val="28"/>
          <w:szCs w:val="28"/>
        </w:rPr>
      </w:pPr>
      <w:bookmarkStart w:id="0" w:name="_Hlk97641955"/>
    </w:p>
    <w:p w14:paraId="57CAF96B" w14:textId="1372C2BC" w:rsidR="002F5EA1" w:rsidRDefault="000C0962" w:rsidP="00FF37B7">
      <w:pPr>
        <w:pStyle w:val="1"/>
      </w:pPr>
      <w:r>
        <w:rPr>
          <w:rStyle w:val="10"/>
          <w:rFonts w:ascii="Times New Roman" w:hAnsi="Times New Roman"/>
          <w:b/>
          <w:bCs/>
          <w:sz w:val="28"/>
          <w:szCs w:val="28"/>
        </w:rPr>
        <w:t>Таблица 2:</w:t>
      </w:r>
      <w:r>
        <w:rPr>
          <w:rStyle w:val="10"/>
          <w:rFonts w:ascii="Times New Roman" w:hAnsi="Times New Roman"/>
          <w:sz w:val="28"/>
          <w:szCs w:val="28"/>
        </w:rPr>
        <w:t xml:space="preserve"> Разход за гориво </w:t>
      </w:r>
      <w:r w:rsidR="000E6367">
        <w:rPr>
          <w:rStyle w:val="10"/>
          <w:rFonts w:ascii="Times New Roman" w:hAnsi="Times New Roman"/>
          <w:sz w:val="28"/>
          <w:szCs w:val="28"/>
        </w:rPr>
        <w:t>на годишна база</w:t>
      </w:r>
    </w:p>
    <w:p w14:paraId="20CF6BF1" w14:textId="77777777" w:rsidR="002F5EA1" w:rsidRDefault="002F5EA1" w:rsidP="00FF37B7">
      <w:pPr>
        <w:pStyle w:val="1"/>
      </w:pPr>
    </w:p>
    <w:tbl>
      <w:tblPr>
        <w:tblW w:w="9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5"/>
        <w:gridCol w:w="1800"/>
        <w:gridCol w:w="2720"/>
        <w:gridCol w:w="2991"/>
      </w:tblGrid>
      <w:tr w:rsidR="002F5EA1" w14:paraId="35484A10" w14:textId="77777777"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CCFDF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Разход за гориво за превоз по вътрешноградски линии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7740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EB8E7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Прогноза 2022г.</w:t>
            </w:r>
          </w:p>
        </w:tc>
      </w:tr>
      <w:tr w:rsidR="002F5EA1" w14:paraId="456066B7" w14:textId="77777777"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E20FA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Метан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F682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кг.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8AFB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343125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48A09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343000</w:t>
            </w:r>
          </w:p>
        </w:tc>
      </w:tr>
      <w:tr w:rsidR="002F5EA1" w14:paraId="40F2BB17" w14:textId="77777777"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16674" w14:textId="77777777" w:rsidR="002F5EA1" w:rsidRDefault="002F5EA1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4402A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стойност, лв.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E64CB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553432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C245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797475</w:t>
            </w:r>
          </w:p>
        </w:tc>
      </w:tr>
      <w:tr w:rsidR="002F5EA1" w14:paraId="621FD8F2" w14:textId="77777777"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3C18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Дизелово гориво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3D49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1E7D2" w14:textId="1BEC015B" w:rsidR="002F5EA1" w:rsidRDefault="00917BAD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294985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73602" w14:textId="411F6498" w:rsidR="002F5EA1" w:rsidRDefault="0068368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295000</w:t>
            </w:r>
          </w:p>
        </w:tc>
      </w:tr>
      <w:tr w:rsidR="002F5EA1" w14:paraId="44850CD1" w14:textId="77777777">
        <w:tc>
          <w:tcPr>
            <w:tcW w:w="1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29D3E" w14:textId="77777777" w:rsidR="002F5EA1" w:rsidRDefault="002F5EA1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751D9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стойност, лв.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FBA0" w14:textId="3C8520D0" w:rsidR="002F5EA1" w:rsidRDefault="00917BAD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480174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10477" w14:textId="608EEAA6" w:rsidR="002F5EA1" w:rsidRDefault="0068368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590</w:t>
            </w:r>
            <w:r w:rsidR="000C0962">
              <w:rPr>
                <w:rFonts w:ascii="Times New Roman" w:hAnsi="Times New Roman"/>
                <w:sz w:val="28"/>
                <w:szCs w:val="28"/>
              </w:rPr>
              <w:t>000</w:t>
            </w:r>
          </w:p>
        </w:tc>
      </w:tr>
      <w:bookmarkEnd w:id="0"/>
    </w:tbl>
    <w:p w14:paraId="3F49819F" w14:textId="77777777" w:rsidR="002F5EA1" w:rsidRDefault="002F5EA1" w:rsidP="00FF37B7">
      <w:pPr>
        <w:pStyle w:val="1"/>
      </w:pPr>
    </w:p>
    <w:p w14:paraId="01FE867C" w14:textId="5D67EC1A" w:rsidR="002F5EA1" w:rsidRPr="000E6367" w:rsidRDefault="000C0962" w:rsidP="00FF37B7">
      <w:pPr>
        <w:pStyle w:val="1"/>
        <w:ind w:firstLine="708"/>
        <w:rPr>
          <w:u w:val="single"/>
        </w:rPr>
      </w:pPr>
      <w:r w:rsidRPr="000E6367">
        <w:rPr>
          <w:rStyle w:val="10"/>
          <w:rFonts w:ascii="Times New Roman" w:hAnsi="Times New Roman"/>
          <w:bCs/>
          <w:sz w:val="28"/>
          <w:szCs w:val="28"/>
        </w:rPr>
        <w:t>Прогнозата е изготвена на база цена (без ДДС)  за метана за декември 2021г. – 2.</w:t>
      </w:r>
      <w:r w:rsidR="00683682">
        <w:rPr>
          <w:rStyle w:val="10"/>
          <w:rFonts w:ascii="Times New Roman" w:hAnsi="Times New Roman"/>
          <w:bCs/>
          <w:sz w:val="28"/>
          <w:szCs w:val="28"/>
        </w:rPr>
        <w:t>33</w:t>
      </w:r>
      <w:r w:rsidRPr="000E6367">
        <w:rPr>
          <w:rStyle w:val="10"/>
          <w:rFonts w:ascii="Times New Roman" w:hAnsi="Times New Roman"/>
          <w:bCs/>
          <w:sz w:val="28"/>
          <w:szCs w:val="28"/>
        </w:rPr>
        <w:t>лв. и за дизелово гориво – 2.</w:t>
      </w:r>
      <w:r w:rsidR="00683682">
        <w:rPr>
          <w:rStyle w:val="10"/>
          <w:rFonts w:ascii="Times New Roman" w:hAnsi="Times New Roman"/>
          <w:bCs/>
          <w:sz w:val="28"/>
          <w:szCs w:val="28"/>
        </w:rPr>
        <w:t>00</w:t>
      </w:r>
      <w:r w:rsidRPr="000E6367">
        <w:rPr>
          <w:rStyle w:val="10"/>
          <w:rFonts w:ascii="Times New Roman" w:hAnsi="Times New Roman"/>
          <w:bCs/>
          <w:sz w:val="28"/>
          <w:szCs w:val="28"/>
        </w:rPr>
        <w:t xml:space="preserve"> лв., </w:t>
      </w:r>
      <w:r w:rsidR="00173A19" w:rsidRPr="000E6367">
        <w:rPr>
          <w:rStyle w:val="10"/>
          <w:rFonts w:ascii="Times New Roman" w:hAnsi="Times New Roman"/>
          <w:bCs/>
          <w:sz w:val="28"/>
          <w:szCs w:val="28"/>
        </w:rPr>
        <w:t xml:space="preserve">като тенденциите през 2022 г. </w:t>
      </w:r>
      <w:r w:rsidR="00173A19" w:rsidRPr="000E6367">
        <w:rPr>
          <w:rStyle w:val="10"/>
          <w:rFonts w:ascii="Times New Roman" w:hAnsi="Times New Roman"/>
          <w:bCs/>
          <w:sz w:val="28"/>
          <w:szCs w:val="28"/>
        </w:rPr>
        <w:lastRenderedPageBreak/>
        <w:t>са трайни и за съжаление към покачване цените на горивата!</w:t>
      </w:r>
      <w:r w:rsidRPr="000E6367">
        <w:rPr>
          <w:rStyle w:val="10"/>
          <w:rFonts w:ascii="Times New Roman" w:hAnsi="Times New Roman"/>
          <w:bCs/>
          <w:sz w:val="28"/>
          <w:szCs w:val="28"/>
        </w:rPr>
        <w:t xml:space="preserve"> </w:t>
      </w:r>
      <w:r w:rsidR="00173A19" w:rsidRPr="000E6367">
        <w:rPr>
          <w:rStyle w:val="10"/>
          <w:rFonts w:ascii="Times New Roman" w:hAnsi="Times New Roman"/>
          <w:bCs/>
          <w:sz w:val="28"/>
          <w:szCs w:val="28"/>
        </w:rPr>
        <w:t>Освен това, рязкото увеличаване на цената на електроенергията за небитовите абонати, доведе до значително покачване на цените на всички консумативи и резервни части!</w:t>
      </w:r>
    </w:p>
    <w:p w14:paraId="1C79EEBC" w14:textId="77777777" w:rsidR="002F5EA1" w:rsidRPr="000E6367" w:rsidRDefault="002F5EA1" w:rsidP="00FF37B7">
      <w:pPr>
        <w:pStyle w:val="1"/>
        <w:rPr>
          <w:rFonts w:ascii="Times New Roman" w:hAnsi="Times New Roman"/>
          <w:sz w:val="28"/>
          <w:szCs w:val="28"/>
        </w:rPr>
      </w:pPr>
    </w:p>
    <w:p w14:paraId="0CC851CF" w14:textId="77777777" w:rsidR="002F5EA1" w:rsidRDefault="000C0962" w:rsidP="00FF37B7">
      <w:pPr>
        <w:pStyle w:val="1"/>
      </w:pPr>
      <w:r>
        <w:rPr>
          <w:rStyle w:val="10"/>
          <w:rFonts w:ascii="Times New Roman" w:hAnsi="Times New Roman"/>
          <w:b/>
          <w:bCs/>
          <w:sz w:val="28"/>
          <w:szCs w:val="28"/>
        </w:rPr>
        <w:t xml:space="preserve">Таблица 3: </w:t>
      </w:r>
      <w:r>
        <w:rPr>
          <w:rStyle w:val="10"/>
          <w:rFonts w:ascii="Times New Roman" w:hAnsi="Times New Roman"/>
          <w:sz w:val="28"/>
          <w:szCs w:val="28"/>
        </w:rPr>
        <w:t xml:space="preserve">Разход за ел. енергия </w:t>
      </w:r>
    </w:p>
    <w:p w14:paraId="7BF71C75" w14:textId="77777777" w:rsidR="002F5EA1" w:rsidRDefault="002F5EA1" w:rsidP="00FF37B7">
      <w:pPr>
        <w:pStyle w:val="1"/>
      </w:pPr>
    </w:p>
    <w:tbl>
      <w:tblPr>
        <w:tblW w:w="9396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2"/>
        <w:gridCol w:w="3132"/>
        <w:gridCol w:w="3132"/>
      </w:tblGrid>
      <w:tr w:rsidR="002F5EA1" w14:paraId="48619B71" w14:textId="77777777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9F6D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Разход за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енергия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FFA3B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F76E8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Прогноза 2022г.</w:t>
            </w:r>
          </w:p>
        </w:tc>
      </w:tr>
      <w:tr w:rsidR="002F5EA1" w14:paraId="42271573" w14:textId="77777777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50CF3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кВтч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AA61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408656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B3ED9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409000</w:t>
            </w:r>
          </w:p>
        </w:tc>
      </w:tr>
      <w:tr w:rsidR="002F5EA1" w14:paraId="3538407C" w14:textId="77777777"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EB81D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стойност, лв.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A1A7B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119634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6DAE4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232966</w:t>
            </w:r>
          </w:p>
        </w:tc>
      </w:tr>
    </w:tbl>
    <w:p w14:paraId="4A0E9EDA" w14:textId="77777777" w:rsidR="002F5EA1" w:rsidRDefault="002F5EA1" w:rsidP="00FF37B7">
      <w:pPr>
        <w:pStyle w:val="1"/>
      </w:pPr>
    </w:p>
    <w:p w14:paraId="2DF0E7D0" w14:textId="015F0E1F" w:rsidR="00173A19" w:rsidRPr="000E6367" w:rsidRDefault="00173A19" w:rsidP="00FF37B7">
      <w:pPr>
        <w:pStyle w:val="1"/>
        <w:ind w:firstLine="708"/>
        <w:rPr>
          <w:rFonts w:ascii="Times New Roman" w:hAnsi="Times New Roman"/>
          <w:bCs/>
          <w:sz w:val="28"/>
          <w:szCs w:val="28"/>
        </w:rPr>
      </w:pPr>
      <w:r w:rsidRPr="000E6367">
        <w:rPr>
          <w:rStyle w:val="10"/>
          <w:rFonts w:ascii="Times New Roman" w:hAnsi="Times New Roman"/>
          <w:bCs/>
          <w:sz w:val="28"/>
          <w:szCs w:val="28"/>
        </w:rPr>
        <w:t>В условията на стремглаво растящи цени на енергоносителите, както и на основни продукти и вещи за бита</w:t>
      </w:r>
      <w:r w:rsidR="00E23133" w:rsidRPr="000E6367">
        <w:rPr>
          <w:rStyle w:val="10"/>
          <w:rFonts w:ascii="Times New Roman" w:hAnsi="Times New Roman"/>
          <w:bCs/>
          <w:sz w:val="28"/>
          <w:szCs w:val="28"/>
        </w:rPr>
        <w:t>, формиращи висока инфлация</w:t>
      </w:r>
      <w:r w:rsidRPr="000E6367">
        <w:rPr>
          <w:rStyle w:val="10"/>
          <w:rFonts w:ascii="Times New Roman" w:hAnsi="Times New Roman"/>
          <w:bCs/>
          <w:sz w:val="28"/>
          <w:szCs w:val="28"/>
        </w:rPr>
        <w:t xml:space="preserve"> и при недостиг на кадри с необходимата квалификация, недостатъчни нива на възнагражденията и нисък интерес към работните места, основно по отношение на водачите на превозни средства, </w:t>
      </w:r>
      <w:r w:rsidR="00E23133" w:rsidRPr="000E6367">
        <w:rPr>
          <w:rStyle w:val="10"/>
          <w:rFonts w:ascii="Times New Roman" w:hAnsi="Times New Roman"/>
          <w:bCs/>
          <w:sz w:val="28"/>
          <w:szCs w:val="28"/>
        </w:rPr>
        <w:t xml:space="preserve">се наложи индексация на работните заплати, което формира увеличение на ФРЗ от </w:t>
      </w:r>
      <w:r w:rsidR="00683682">
        <w:rPr>
          <w:rStyle w:val="10"/>
          <w:rFonts w:ascii="Times New Roman" w:hAnsi="Times New Roman"/>
          <w:bCs/>
          <w:sz w:val="28"/>
          <w:szCs w:val="28"/>
        </w:rPr>
        <w:t>15,9</w:t>
      </w:r>
      <w:r w:rsidR="00E23133" w:rsidRPr="000E6367">
        <w:rPr>
          <w:rStyle w:val="10"/>
          <w:rFonts w:ascii="Times New Roman" w:hAnsi="Times New Roman"/>
          <w:bCs/>
          <w:sz w:val="28"/>
          <w:szCs w:val="28"/>
        </w:rPr>
        <w:t>%.</w:t>
      </w:r>
    </w:p>
    <w:p w14:paraId="0DF9EF81" w14:textId="77777777" w:rsidR="002F5EA1" w:rsidRPr="000E6367" w:rsidRDefault="002F5EA1" w:rsidP="00FF37B7">
      <w:pPr>
        <w:pStyle w:val="1"/>
      </w:pPr>
    </w:p>
    <w:p w14:paraId="4865F2A4" w14:textId="32CD6AD4" w:rsidR="002F5EA1" w:rsidRDefault="000C0962" w:rsidP="00FF37B7">
      <w:pPr>
        <w:pStyle w:val="1"/>
      </w:pPr>
      <w:r>
        <w:rPr>
          <w:rStyle w:val="10"/>
          <w:rFonts w:ascii="Times New Roman" w:hAnsi="Times New Roman"/>
          <w:b/>
          <w:bCs/>
          <w:sz w:val="28"/>
          <w:szCs w:val="28"/>
        </w:rPr>
        <w:t>Таблица 4:</w:t>
      </w:r>
      <w:r>
        <w:rPr>
          <w:rStyle w:val="10"/>
          <w:rFonts w:ascii="Times New Roman" w:hAnsi="Times New Roman"/>
          <w:sz w:val="28"/>
          <w:szCs w:val="28"/>
        </w:rPr>
        <w:t xml:space="preserve"> Разход за заплати и осигуровки на персонал </w:t>
      </w:r>
    </w:p>
    <w:p w14:paraId="0A1A6210" w14:textId="77777777" w:rsidR="002F5EA1" w:rsidRDefault="002F5EA1" w:rsidP="00FF37B7">
      <w:pPr>
        <w:pStyle w:val="1"/>
      </w:pPr>
    </w:p>
    <w:tbl>
      <w:tblPr>
        <w:tblW w:w="9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2"/>
        <w:gridCol w:w="3132"/>
        <w:gridCol w:w="3132"/>
      </w:tblGrid>
      <w:tr w:rsidR="002F5EA1" w14:paraId="51193073" w14:textId="77777777">
        <w:trPr>
          <w:trHeight w:val="796"/>
        </w:trPr>
        <w:tc>
          <w:tcPr>
            <w:tcW w:w="3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A32E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Разход за заплати и осигуровки на персонал за превоз по вътрешноградски линии, лв.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0EB5C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2021г.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2057D" w14:textId="77777777" w:rsidR="002F5EA1" w:rsidRDefault="000C096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Прогноза 2022г.</w:t>
            </w:r>
          </w:p>
        </w:tc>
      </w:tr>
      <w:tr w:rsidR="002F5EA1" w14:paraId="1D897A72" w14:textId="77777777">
        <w:tc>
          <w:tcPr>
            <w:tcW w:w="3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93C8" w14:textId="77777777" w:rsidR="002F5EA1" w:rsidRDefault="002F5EA1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62EA2" w14:textId="32C6018E" w:rsidR="002F5EA1" w:rsidRDefault="0068368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2 268 847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7C18F" w14:textId="2FF83050" w:rsidR="002F5EA1" w:rsidRDefault="00683682" w:rsidP="00FF37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2 630 000</w:t>
            </w:r>
          </w:p>
        </w:tc>
      </w:tr>
    </w:tbl>
    <w:p w14:paraId="3E2B25AE" w14:textId="77777777" w:rsidR="002F5EA1" w:rsidRDefault="002F5EA1" w:rsidP="00FF37B7">
      <w:pPr>
        <w:pStyle w:val="1"/>
        <w:rPr>
          <w:rFonts w:ascii="Times New Roman" w:hAnsi="Times New Roman"/>
          <w:sz w:val="28"/>
          <w:szCs w:val="28"/>
        </w:rPr>
      </w:pPr>
    </w:p>
    <w:p w14:paraId="18515BE1" w14:textId="1D06959F" w:rsidR="002F5EA1" w:rsidRPr="000E6367" w:rsidRDefault="000C0962" w:rsidP="00FF37B7">
      <w:pPr>
        <w:pStyle w:val="1"/>
        <w:ind w:firstLine="708"/>
      </w:pPr>
      <w:r w:rsidRPr="000E6367">
        <w:rPr>
          <w:rStyle w:val="10"/>
          <w:rFonts w:ascii="Times New Roman" w:hAnsi="Times New Roman"/>
          <w:bCs/>
          <w:sz w:val="28"/>
          <w:szCs w:val="28"/>
        </w:rPr>
        <w:t>Високите цени на електроенергията</w:t>
      </w:r>
      <w:r w:rsidR="00B03541" w:rsidRPr="000E6367">
        <w:rPr>
          <w:rStyle w:val="10"/>
          <w:rFonts w:ascii="Times New Roman" w:hAnsi="Times New Roman"/>
          <w:bCs/>
          <w:sz w:val="28"/>
          <w:szCs w:val="28"/>
        </w:rPr>
        <w:t>,</w:t>
      </w:r>
      <w:r w:rsidRPr="000E6367">
        <w:rPr>
          <w:rStyle w:val="10"/>
          <w:rFonts w:ascii="Times New Roman" w:hAnsi="Times New Roman"/>
          <w:bCs/>
          <w:sz w:val="28"/>
          <w:szCs w:val="28"/>
        </w:rPr>
        <w:t xml:space="preserve"> горивата, </w:t>
      </w:r>
      <w:r w:rsidR="00B03541" w:rsidRPr="000E6367">
        <w:rPr>
          <w:rStyle w:val="10"/>
          <w:rFonts w:ascii="Times New Roman" w:hAnsi="Times New Roman"/>
          <w:bCs/>
          <w:sz w:val="28"/>
          <w:szCs w:val="28"/>
        </w:rPr>
        <w:t xml:space="preserve">консумативите, резервните части и външните услуги, както </w:t>
      </w:r>
      <w:r w:rsidRPr="000E6367">
        <w:rPr>
          <w:rStyle w:val="10"/>
          <w:rFonts w:ascii="Times New Roman" w:hAnsi="Times New Roman"/>
          <w:bCs/>
          <w:sz w:val="28"/>
          <w:szCs w:val="28"/>
        </w:rPr>
        <w:t>и намаления пътникопоток в градския транспорт създават</w:t>
      </w:r>
      <w:r w:rsidR="00B03541" w:rsidRPr="000E6367">
        <w:rPr>
          <w:rStyle w:val="10"/>
          <w:rFonts w:ascii="Times New Roman" w:hAnsi="Times New Roman"/>
          <w:bCs/>
          <w:sz w:val="28"/>
          <w:szCs w:val="28"/>
        </w:rPr>
        <w:t xml:space="preserve"> предпоставки за</w:t>
      </w:r>
      <w:r w:rsidRPr="000E6367">
        <w:rPr>
          <w:rStyle w:val="10"/>
          <w:rFonts w:ascii="Times New Roman" w:hAnsi="Times New Roman"/>
          <w:bCs/>
          <w:sz w:val="28"/>
          <w:szCs w:val="28"/>
        </w:rPr>
        <w:t xml:space="preserve"> финансови затруднения на  „Общински пътнически транспорт“</w:t>
      </w:r>
      <w:r w:rsidR="00B03541" w:rsidRPr="000E6367">
        <w:rPr>
          <w:rStyle w:val="10"/>
          <w:rFonts w:ascii="Times New Roman" w:hAnsi="Times New Roman"/>
          <w:bCs/>
          <w:sz w:val="28"/>
          <w:szCs w:val="28"/>
        </w:rPr>
        <w:t xml:space="preserve"> ЕООД</w:t>
      </w:r>
      <w:r w:rsidRPr="000E6367">
        <w:rPr>
          <w:rStyle w:val="10"/>
          <w:rFonts w:ascii="Times New Roman" w:hAnsi="Times New Roman"/>
          <w:bCs/>
          <w:sz w:val="28"/>
          <w:szCs w:val="28"/>
        </w:rPr>
        <w:t>. Докато през януари 2021г. разходите за енергийни ресурси /електроенергия и горива/ са били 103000лв., то за  декември 2021г. те вече са 173000лв.</w:t>
      </w:r>
    </w:p>
    <w:p w14:paraId="043E8E26" w14:textId="01312802" w:rsidR="002F5EA1" w:rsidRPr="000E6367" w:rsidRDefault="000C0962" w:rsidP="00FF37B7">
      <w:pPr>
        <w:pStyle w:val="1"/>
        <w:ind w:firstLine="708"/>
        <w:rPr>
          <w:rFonts w:ascii="Times New Roman" w:hAnsi="Times New Roman"/>
          <w:bCs/>
          <w:sz w:val="28"/>
          <w:szCs w:val="28"/>
        </w:rPr>
      </w:pPr>
      <w:r w:rsidRPr="000E6367">
        <w:rPr>
          <w:rFonts w:ascii="Times New Roman" w:hAnsi="Times New Roman"/>
          <w:bCs/>
          <w:sz w:val="28"/>
          <w:szCs w:val="28"/>
        </w:rPr>
        <w:t xml:space="preserve">Съпоставката на тези елементи от януари 2021г. спрямо януари 2022г. показва, че цената на </w:t>
      </w:r>
      <w:r w:rsidR="00D27E3B" w:rsidRPr="000E6367">
        <w:rPr>
          <w:rFonts w:ascii="Times New Roman" w:hAnsi="Times New Roman"/>
          <w:bCs/>
          <w:sz w:val="28"/>
          <w:szCs w:val="28"/>
        </w:rPr>
        <w:t xml:space="preserve">природния газ </w:t>
      </w:r>
      <w:r w:rsidRPr="000E6367">
        <w:rPr>
          <w:rFonts w:ascii="Times New Roman" w:hAnsi="Times New Roman"/>
          <w:bCs/>
          <w:sz w:val="28"/>
          <w:szCs w:val="28"/>
        </w:rPr>
        <w:t>се е увеличила над два пъти (със 114%), дизела с 35,6%, ел. енергията приблизително три пъти (със 183,3%) и съответн</w:t>
      </w:r>
      <w:r w:rsidR="00D27E3B" w:rsidRPr="000E6367">
        <w:rPr>
          <w:rFonts w:ascii="Times New Roman" w:hAnsi="Times New Roman"/>
          <w:bCs/>
          <w:sz w:val="28"/>
          <w:szCs w:val="28"/>
        </w:rPr>
        <w:t>о се е увеличила цената на  резервните</w:t>
      </w:r>
      <w:r w:rsidRPr="000E6367">
        <w:rPr>
          <w:rFonts w:ascii="Times New Roman" w:hAnsi="Times New Roman"/>
          <w:bCs/>
          <w:sz w:val="28"/>
          <w:szCs w:val="28"/>
        </w:rPr>
        <w:t xml:space="preserve"> части и МРЗ.</w:t>
      </w:r>
    </w:p>
    <w:p w14:paraId="6EDFFF40" w14:textId="27D28FDE" w:rsidR="002F5EA1" w:rsidRPr="000E6367" w:rsidRDefault="004406E8" w:rsidP="00FF37B7">
      <w:pPr>
        <w:pStyle w:val="1"/>
        <w:ind w:firstLine="708"/>
        <w:rPr>
          <w:rFonts w:ascii="Times New Roman" w:hAnsi="Times New Roman"/>
          <w:sz w:val="28"/>
          <w:szCs w:val="28"/>
        </w:rPr>
      </w:pPr>
      <w:r w:rsidRPr="000E6367">
        <w:rPr>
          <w:rFonts w:ascii="Times New Roman" w:hAnsi="Times New Roman"/>
          <w:sz w:val="28"/>
          <w:szCs w:val="28"/>
        </w:rPr>
        <w:t xml:space="preserve">Съвкупността от изложените по-горе факти, налага преразглеждане на цените на услугите, предлагани от дружеството! </w:t>
      </w:r>
      <w:r w:rsidR="000C0962" w:rsidRPr="000E6367">
        <w:rPr>
          <w:rFonts w:ascii="Times New Roman" w:hAnsi="Times New Roman"/>
          <w:sz w:val="28"/>
          <w:szCs w:val="28"/>
        </w:rPr>
        <w:t xml:space="preserve">От септември 2008 г. цената за еднократно пътуване с билет по основни вътрешноградски </w:t>
      </w:r>
      <w:r w:rsidR="000C0962">
        <w:rPr>
          <w:rFonts w:ascii="Times New Roman" w:hAnsi="Times New Roman"/>
          <w:sz w:val="28"/>
          <w:szCs w:val="28"/>
        </w:rPr>
        <w:t>линии е 1.00 лв. За активно пътуващите граждани, отиващи на работа или на училище, и ползващи редовно услугите на дружеството са предложени едномесечни  абонаментни карти,</w:t>
      </w:r>
      <w:r w:rsidR="001A66A4" w:rsidRPr="001A66A4">
        <w:rPr>
          <w:rFonts w:ascii="Times New Roman" w:hAnsi="Times New Roman"/>
          <w:sz w:val="28"/>
          <w:szCs w:val="28"/>
        </w:rPr>
        <w:t xml:space="preserve"> </w:t>
      </w:r>
      <w:r w:rsidR="001A66A4" w:rsidRPr="000E6367">
        <w:rPr>
          <w:rFonts w:ascii="Times New Roman" w:hAnsi="Times New Roman"/>
          <w:sz w:val="28"/>
          <w:szCs w:val="28"/>
        </w:rPr>
        <w:t>при значително по-ниска цена за едно пътуване.</w:t>
      </w:r>
    </w:p>
    <w:p w14:paraId="225023FA" w14:textId="77777777" w:rsidR="002F5EA1" w:rsidRDefault="000C0962" w:rsidP="00FF37B7">
      <w:pPr>
        <w:pStyle w:val="1"/>
      </w:pPr>
      <w:r>
        <w:rPr>
          <w:rStyle w:val="10"/>
          <w:rFonts w:ascii="Times New Roman" w:hAnsi="Times New Roman"/>
          <w:sz w:val="28"/>
          <w:szCs w:val="28"/>
        </w:rPr>
        <w:t xml:space="preserve"> </w:t>
      </w:r>
    </w:p>
    <w:p w14:paraId="7780ECAF" w14:textId="77777777" w:rsidR="002F5EA1" w:rsidRDefault="002F5EA1" w:rsidP="00FF37B7">
      <w:pPr>
        <w:pStyle w:val="1"/>
      </w:pPr>
      <w:bookmarkStart w:id="1" w:name="OLE_LINK1"/>
      <w:bookmarkStart w:id="2" w:name="OLE_LINK2"/>
    </w:p>
    <w:p w14:paraId="2804DEA0" w14:textId="77777777" w:rsidR="002F5EA1" w:rsidRDefault="002F5EA1" w:rsidP="00FF37B7">
      <w:pPr>
        <w:pStyle w:val="1"/>
      </w:pPr>
    </w:p>
    <w:p w14:paraId="5DDD6D13" w14:textId="77777777" w:rsidR="002F5EA1" w:rsidRDefault="000C0962" w:rsidP="00FF37B7">
      <w:pPr>
        <w:pStyle w:val="1"/>
      </w:pPr>
      <w:r>
        <w:rPr>
          <w:rStyle w:val="10"/>
          <w:rFonts w:ascii="Times New Roman" w:hAnsi="Times New Roman"/>
          <w:b/>
          <w:sz w:val="28"/>
          <w:szCs w:val="28"/>
        </w:rPr>
        <w:t>Таблица 5:</w:t>
      </w:r>
      <w:r>
        <w:rPr>
          <w:rStyle w:val="10"/>
          <w:rFonts w:ascii="Times New Roman" w:hAnsi="Times New Roman"/>
          <w:sz w:val="28"/>
          <w:szCs w:val="28"/>
        </w:rPr>
        <w:t xml:space="preserve"> Цени за едно пътуване с абонаментни карти при цена на билета 1,00лв:</w:t>
      </w:r>
    </w:p>
    <w:p w14:paraId="12AE60A6" w14:textId="77777777" w:rsidR="002F5EA1" w:rsidRDefault="002F5EA1" w:rsidP="00FF37B7">
      <w:pPr>
        <w:pStyle w:val="1"/>
      </w:pPr>
    </w:p>
    <w:p w14:paraId="46BE859D" w14:textId="77777777" w:rsidR="002F5EA1" w:rsidRDefault="000C0962" w:rsidP="00FF37B7">
      <w:pPr>
        <w:pStyle w:val="1"/>
      </w:pPr>
      <w:r>
        <w:rPr>
          <w:rStyle w:val="10"/>
          <w:rFonts w:ascii="Times New Roman" w:hAnsi="Times New Roman"/>
          <w:sz w:val="28"/>
          <w:szCs w:val="28"/>
          <w:lang w:eastAsia="bg-BG"/>
        </w:rPr>
        <w:object w:dxaOrig="8316" w:dyaOrig="5328" w14:anchorId="7EBA50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5" o:spid="_x0000_i1025" type="#_x0000_t75" style="width:415.5pt;height:266.25pt;visibility:visible;mso-wrap-style:square" o:ole="">
            <v:imagedata r:id="rId6" o:title=""/>
          </v:shape>
          <o:OLEObject Type="Embed" ProgID="Excel.Sheet.8" ShapeID="Object 45" DrawAspect="Content" ObjectID="_1711377209" r:id="rId7"/>
        </w:object>
      </w:r>
      <w:bookmarkEnd w:id="1"/>
      <w:bookmarkEnd w:id="2"/>
    </w:p>
    <w:p w14:paraId="6A29326E" w14:textId="77777777" w:rsidR="0077754E" w:rsidRDefault="0077754E" w:rsidP="00FF37B7">
      <w:pPr>
        <w:pStyle w:val="1"/>
        <w:rPr>
          <w:rStyle w:val="10"/>
          <w:rFonts w:ascii="Times New Roman" w:hAnsi="Times New Roman"/>
          <w:b/>
          <w:color w:val="000000"/>
          <w:sz w:val="28"/>
          <w:szCs w:val="28"/>
        </w:rPr>
      </w:pPr>
    </w:p>
    <w:p w14:paraId="682CBD89" w14:textId="77777777" w:rsidR="00DF44EF" w:rsidRDefault="00DF44EF" w:rsidP="00FF37B7">
      <w:pPr>
        <w:pStyle w:val="1"/>
        <w:rPr>
          <w:rStyle w:val="10"/>
          <w:rFonts w:ascii="Times New Roman" w:hAnsi="Times New Roman"/>
          <w:b/>
          <w:color w:val="000000"/>
          <w:sz w:val="28"/>
          <w:szCs w:val="28"/>
        </w:rPr>
      </w:pPr>
    </w:p>
    <w:p w14:paraId="177010FB" w14:textId="77777777" w:rsidR="00DF44EF" w:rsidRDefault="00DF44EF" w:rsidP="00FF37B7">
      <w:pPr>
        <w:pStyle w:val="1"/>
        <w:rPr>
          <w:rStyle w:val="10"/>
          <w:rFonts w:ascii="Times New Roman" w:hAnsi="Times New Roman"/>
          <w:b/>
          <w:color w:val="000000"/>
          <w:sz w:val="28"/>
          <w:szCs w:val="28"/>
        </w:rPr>
      </w:pPr>
    </w:p>
    <w:p w14:paraId="4148295A" w14:textId="77777777" w:rsidR="00DF44EF" w:rsidRDefault="00DF44EF" w:rsidP="00FF37B7">
      <w:pPr>
        <w:pStyle w:val="1"/>
        <w:rPr>
          <w:rStyle w:val="10"/>
          <w:rFonts w:ascii="Times New Roman" w:hAnsi="Times New Roman"/>
          <w:b/>
          <w:color w:val="000000"/>
          <w:sz w:val="28"/>
          <w:szCs w:val="28"/>
        </w:rPr>
      </w:pPr>
    </w:p>
    <w:p w14:paraId="08673611" w14:textId="77777777" w:rsidR="00DF44EF" w:rsidRDefault="00DF44EF" w:rsidP="00FF37B7">
      <w:pPr>
        <w:pStyle w:val="1"/>
        <w:rPr>
          <w:rStyle w:val="10"/>
          <w:rFonts w:ascii="Times New Roman" w:hAnsi="Times New Roman"/>
          <w:b/>
          <w:color w:val="000000"/>
          <w:sz w:val="28"/>
          <w:szCs w:val="28"/>
        </w:rPr>
      </w:pPr>
    </w:p>
    <w:p w14:paraId="01B638E6" w14:textId="45B02238" w:rsidR="002F5EA1" w:rsidRDefault="004B3943" w:rsidP="00FF37B7">
      <w:pPr>
        <w:pStyle w:val="1"/>
      </w:pPr>
      <w:bookmarkStart w:id="3" w:name="_GoBack"/>
      <w:bookmarkEnd w:id="3"/>
      <w:r>
        <w:rPr>
          <w:rStyle w:val="10"/>
          <w:rFonts w:ascii="Times New Roman" w:hAnsi="Times New Roman"/>
          <w:bCs/>
          <w:noProof/>
          <w:color w:val="000000"/>
          <w:sz w:val="28"/>
          <w:szCs w:val="28"/>
          <w:lang w:eastAsia="bg-BG"/>
        </w:rPr>
        <w:drawing>
          <wp:anchor distT="0" distB="0" distL="114300" distR="114300" simplePos="0" relativeHeight="251659264" behindDoc="0" locked="0" layoutInCell="1" allowOverlap="1" wp14:anchorId="4CC23FDF" wp14:editId="196125B8">
            <wp:simplePos x="0" y="0"/>
            <wp:positionH relativeFrom="margin">
              <wp:posOffset>733425</wp:posOffset>
            </wp:positionH>
            <wp:positionV relativeFrom="paragraph">
              <wp:posOffset>226060</wp:posOffset>
            </wp:positionV>
            <wp:extent cx="4545330" cy="2341245"/>
            <wp:effectExtent l="0" t="0" r="7620" b="1905"/>
            <wp:wrapSquare wrapText="bothSides"/>
            <wp:docPr id="1" name="Диагра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962">
        <w:rPr>
          <w:rStyle w:val="10"/>
          <w:rFonts w:ascii="Times New Roman" w:hAnsi="Times New Roman"/>
          <w:b/>
          <w:color w:val="000000"/>
          <w:sz w:val="28"/>
          <w:szCs w:val="28"/>
        </w:rPr>
        <w:t>Таблица 6:</w:t>
      </w:r>
      <w:r w:rsidR="000C0962">
        <w:rPr>
          <w:rStyle w:val="10"/>
          <w:rFonts w:ascii="Times New Roman" w:hAnsi="Times New Roman"/>
          <w:bCs/>
          <w:color w:val="000000"/>
          <w:sz w:val="28"/>
          <w:szCs w:val="28"/>
        </w:rPr>
        <w:t xml:space="preserve"> Структура на приходите от превоз по вътрешноградски линии през 2021г.</w:t>
      </w:r>
    </w:p>
    <w:p w14:paraId="5E5096A7" w14:textId="2F6BFBDA" w:rsidR="004B3943" w:rsidRDefault="004B3943" w:rsidP="00FF37B7">
      <w:pPr>
        <w:pStyle w:val="1"/>
      </w:pPr>
    </w:p>
    <w:p w14:paraId="4E66B2A3" w14:textId="6BDE2EA3" w:rsidR="004B3943" w:rsidRDefault="004B3943">
      <w:r>
        <w:br w:type="page"/>
      </w:r>
    </w:p>
    <w:p w14:paraId="443B81CA" w14:textId="3DF2F069" w:rsidR="002F5EA1" w:rsidRDefault="000C0962" w:rsidP="00135A9A">
      <w:pPr>
        <w:pStyle w:val="1"/>
        <w:jc w:val="center"/>
      </w:pPr>
      <w:r>
        <w:rPr>
          <w:rStyle w:val="10"/>
          <w:rFonts w:ascii="Times New Roman" w:hAnsi="Times New Roman"/>
          <w:b/>
          <w:color w:val="000000"/>
          <w:sz w:val="28"/>
          <w:szCs w:val="28"/>
        </w:rPr>
        <w:lastRenderedPageBreak/>
        <w:t>Таблица 7:</w:t>
      </w:r>
      <w:r>
        <w:rPr>
          <w:rStyle w:val="10"/>
          <w:rFonts w:ascii="Times New Roman" w:hAnsi="Times New Roman"/>
          <w:bCs/>
          <w:color w:val="000000"/>
          <w:sz w:val="28"/>
          <w:szCs w:val="28"/>
        </w:rPr>
        <w:t xml:space="preserve"> Нетни разходи за превоз по вътрешноградски лин</w:t>
      </w:r>
      <w:r w:rsidR="00135A9A">
        <w:rPr>
          <w:rStyle w:val="10"/>
          <w:rFonts w:ascii="Times New Roman" w:hAnsi="Times New Roman"/>
          <w:bCs/>
          <w:color w:val="000000"/>
          <w:sz w:val="28"/>
          <w:szCs w:val="28"/>
        </w:rPr>
        <w:t>и</w:t>
      </w:r>
      <w:r>
        <w:rPr>
          <w:rStyle w:val="10"/>
          <w:rFonts w:ascii="Times New Roman" w:hAnsi="Times New Roman"/>
          <w:bCs/>
          <w:color w:val="000000"/>
          <w:sz w:val="28"/>
          <w:szCs w:val="28"/>
        </w:rPr>
        <w:t>и</w:t>
      </w:r>
      <w:r w:rsidR="00AF1B2F">
        <w:object w:dxaOrig="8868" w:dyaOrig="6852" w14:anchorId="06852E99">
          <v:shape id="Object 75" o:spid="_x0000_i1026" type="#_x0000_t75" style="width:469.5pt;height:324pt;visibility:visible;mso-wrap-style:square" o:ole="">
            <v:imagedata r:id="rId9" o:title=""/>
          </v:shape>
          <o:OLEObject Type="Embed" ProgID="Excel.Sheet.12" ShapeID="Object 75" DrawAspect="Content" ObjectID="_1711377210" r:id="rId10"/>
        </w:object>
      </w:r>
    </w:p>
    <w:p w14:paraId="39F763B6" w14:textId="41CF2426" w:rsidR="004B3943" w:rsidRPr="00AF1B2F" w:rsidRDefault="0077754E" w:rsidP="00AF1B2F">
      <w:pPr>
        <w:pStyle w:val="1"/>
        <w:rPr>
          <w:rStyle w:val="10"/>
          <w:rFonts w:ascii="Times New Roman" w:hAnsi="Times New Roman"/>
          <w:bCs/>
          <w:sz w:val="28"/>
          <w:szCs w:val="28"/>
        </w:rPr>
      </w:pPr>
      <w:r>
        <w:rPr>
          <w:rStyle w:val="10"/>
          <w:rFonts w:ascii="Times New Roman" w:hAnsi="Times New Roman"/>
          <w:bCs/>
          <w:sz w:val="28"/>
          <w:szCs w:val="28"/>
        </w:rPr>
        <w:t>От посочените в таблица 7 разходи за 2022г. 408 хил. лв. са за наем на 14  автобуса собственост на Община Габрово, които биха могли да не бъдат реално дължими с волята и решение на Общински съвет Габрово. Тогава разходите, които дружеството трябва покрие са 3 050 хил. лв.</w:t>
      </w:r>
    </w:p>
    <w:p w14:paraId="44323D23" w14:textId="14DE9499" w:rsidR="004B3943" w:rsidRDefault="00E2367F" w:rsidP="00FF37B7">
      <w:pPr>
        <w:pStyle w:val="1"/>
        <w:rPr>
          <w:rStyle w:val="10"/>
          <w:rFonts w:ascii="Times New Roman" w:hAnsi="Times New Roman"/>
          <w:bCs/>
          <w:sz w:val="28"/>
          <w:szCs w:val="28"/>
        </w:rPr>
      </w:pPr>
      <w:r w:rsidRPr="00E2367F">
        <w:rPr>
          <w:rStyle w:val="10"/>
          <w:rFonts w:ascii="Times New Roman" w:hAnsi="Times New Roman"/>
          <w:b/>
          <w:sz w:val="28"/>
          <w:szCs w:val="28"/>
        </w:rPr>
        <w:t>Таблица 8</w:t>
      </w:r>
      <w:r>
        <w:rPr>
          <w:rStyle w:val="10"/>
          <w:rFonts w:ascii="Times New Roman" w:hAnsi="Times New Roman"/>
          <w:bCs/>
          <w:sz w:val="28"/>
          <w:szCs w:val="28"/>
        </w:rPr>
        <w:t xml:space="preserve"> : </w:t>
      </w:r>
      <w:r w:rsidR="005356E9">
        <w:rPr>
          <w:rStyle w:val="10"/>
          <w:rFonts w:ascii="Times New Roman" w:hAnsi="Times New Roman"/>
          <w:bCs/>
          <w:sz w:val="28"/>
          <w:szCs w:val="28"/>
        </w:rPr>
        <w:t>Прогнозни</w:t>
      </w:r>
      <w:r w:rsidR="00416C21">
        <w:rPr>
          <w:rStyle w:val="10"/>
          <w:rFonts w:ascii="Times New Roman" w:hAnsi="Times New Roman"/>
          <w:bCs/>
          <w:sz w:val="28"/>
          <w:szCs w:val="28"/>
        </w:rPr>
        <w:t xml:space="preserve"> приходи </w:t>
      </w:r>
      <w:r w:rsidR="005356E9">
        <w:rPr>
          <w:rStyle w:val="10"/>
          <w:rFonts w:ascii="Times New Roman" w:hAnsi="Times New Roman"/>
          <w:bCs/>
          <w:sz w:val="28"/>
          <w:szCs w:val="28"/>
        </w:rPr>
        <w:t xml:space="preserve">от превоз по вътрешноградски линии </w:t>
      </w:r>
      <w:r w:rsidR="00416C21">
        <w:rPr>
          <w:rStyle w:val="10"/>
          <w:rFonts w:ascii="Times New Roman" w:hAnsi="Times New Roman"/>
          <w:bCs/>
          <w:sz w:val="28"/>
          <w:szCs w:val="28"/>
        </w:rPr>
        <w:t>2022г.</w:t>
      </w:r>
    </w:p>
    <w:bookmarkStart w:id="4" w:name="_MON_1711363434"/>
    <w:bookmarkEnd w:id="4"/>
    <w:p w14:paraId="2736F5C9" w14:textId="2847FCC5" w:rsidR="005356E9" w:rsidRPr="00555D87" w:rsidRDefault="00AF1B2F" w:rsidP="00FF37B7">
      <w:pPr>
        <w:pStyle w:val="1"/>
        <w:rPr>
          <w:rStyle w:val="10"/>
          <w:rFonts w:ascii="Times New Roman" w:hAnsi="Times New Roman"/>
          <w:bCs/>
          <w:sz w:val="28"/>
          <w:szCs w:val="28"/>
        </w:rPr>
      </w:pPr>
      <w:r>
        <w:rPr>
          <w:rStyle w:val="10"/>
          <w:rFonts w:ascii="Times New Roman" w:hAnsi="Times New Roman"/>
          <w:bCs/>
          <w:sz w:val="28"/>
          <w:szCs w:val="28"/>
        </w:rPr>
        <w:object w:dxaOrig="9552" w:dyaOrig="6225" w14:anchorId="44F64BAE">
          <v:shape id="_x0000_i1029" type="#_x0000_t75" style="width:531pt;height:258.75pt" o:ole="">
            <v:imagedata r:id="rId11" o:title=""/>
          </v:shape>
          <o:OLEObject Type="Embed" ProgID="Excel.Sheet.12" ShapeID="_x0000_i1029" DrawAspect="Content" ObjectID="_1711377211" r:id="rId12"/>
        </w:object>
      </w:r>
    </w:p>
    <w:p w14:paraId="3E644418" w14:textId="0BEFB6C6" w:rsidR="00245720" w:rsidRDefault="00245720" w:rsidP="00FF37B7">
      <w:pPr>
        <w:pStyle w:val="1"/>
        <w:rPr>
          <w:rStyle w:val="10"/>
          <w:rFonts w:ascii="Times New Roman" w:hAnsi="Times New Roman"/>
          <w:bCs/>
          <w:sz w:val="28"/>
          <w:szCs w:val="28"/>
        </w:rPr>
      </w:pPr>
    </w:p>
    <w:p w14:paraId="06438640" w14:textId="77777777" w:rsidR="004B3943" w:rsidRDefault="004B3943" w:rsidP="00FF37B7">
      <w:pPr>
        <w:pStyle w:val="1"/>
        <w:rPr>
          <w:rStyle w:val="10"/>
          <w:rFonts w:ascii="Times New Roman" w:hAnsi="Times New Roman"/>
          <w:bCs/>
          <w:sz w:val="28"/>
          <w:szCs w:val="28"/>
        </w:rPr>
      </w:pPr>
    </w:p>
    <w:p w14:paraId="2C4F6D98" w14:textId="01FCAE1E" w:rsidR="007B5A77" w:rsidRDefault="007B5A77" w:rsidP="00FF37B7">
      <w:pPr>
        <w:pStyle w:val="1"/>
        <w:rPr>
          <w:rStyle w:val="10"/>
          <w:rFonts w:ascii="Times New Roman" w:hAnsi="Times New Roman"/>
          <w:bCs/>
          <w:sz w:val="28"/>
          <w:szCs w:val="28"/>
        </w:rPr>
      </w:pPr>
      <w:r>
        <w:rPr>
          <w:rStyle w:val="10"/>
          <w:rFonts w:ascii="Times New Roman" w:hAnsi="Times New Roman"/>
          <w:bCs/>
          <w:sz w:val="28"/>
          <w:szCs w:val="28"/>
        </w:rPr>
        <w:t xml:space="preserve">През 2022г. при запазване на пътникопотока и при сега действащите цени дружеството би реализирало  приходи от продажба на билети и абонаментни карти в размер на 1 046 хил. лв. От компенсации, субсидии и други средства по програми очакваните приходи са 1 570 хил. лв. Общо приходите от 2 616 хил. лв. не покриват очакваните дължими разходите с 434 хил. лв. Увеличението </w:t>
      </w:r>
      <w:r w:rsidR="00245720">
        <w:rPr>
          <w:rStyle w:val="10"/>
          <w:rFonts w:ascii="Times New Roman" w:hAnsi="Times New Roman"/>
          <w:bCs/>
          <w:sz w:val="28"/>
          <w:szCs w:val="28"/>
        </w:rPr>
        <w:t>на</w:t>
      </w:r>
      <w:r>
        <w:rPr>
          <w:rStyle w:val="10"/>
          <w:rFonts w:ascii="Times New Roman" w:hAnsi="Times New Roman"/>
          <w:bCs/>
          <w:sz w:val="28"/>
          <w:szCs w:val="28"/>
        </w:rPr>
        <w:t xml:space="preserve"> цената на билета за еднократно пътуване с 50% от 1.00лв. на 1.50 лв. и увеличение</w:t>
      </w:r>
      <w:r w:rsidR="00245720">
        <w:rPr>
          <w:rStyle w:val="10"/>
          <w:rFonts w:ascii="Times New Roman" w:hAnsi="Times New Roman"/>
          <w:bCs/>
          <w:sz w:val="28"/>
          <w:szCs w:val="28"/>
        </w:rPr>
        <w:t>то</w:t>
      </w:r>
      <w:r>
        <w:rPr>
          <w:rStyle w:val="10"/>
          <w:rFonts w:ascii="Times New Roman" w:hAnsi="Times New Roman"/>
          <w:bCs/>
          <w:sz w:val="28"/>
          <w:szCs w:val="28"/>
        </w:rPr>
        <w:t xml:space="preserve"> </w:t>
      </w:r>
      <w:r w:rsidR="00245720">
        <w:rPr>
          <w:rStyle w:val="10"/>
          <w:rFonts w:ascii="Times New Roman" w:hAnsi="Times New Roman"/>
          <w:bCs/>
          <w:sz w:val="28"/>
          <w:szCs w:val="28"/>
        </w:rPr>
        <w:t xml:space="preserve">на </w:t>
      </w:r>
      <w:r>
        <w:rPr>
          <w:rStyle w:val="10"/>
          <w:rFonts w:ascii="Times New Roman" w:hAnsi="Times New Roman"/>
          <w:bCs/>
          <w:sz w:val="28"/>
          <w:szCs w:val="28"/>
        </w:rPr>
        <w:t xml:space="preserve">цената на абонаментните карти с 30% </w:t>
      </w:r>
      <w:r w:rsidR="00245720">
        <w:rPr>
          <w:rStyle w:val="10"/>
          <w:rFonts w:ascii="Times New Roman" w:hAnsi="Times New Roman"/>
          <w:bCs/>
          <w:sz w:val="28"/>
          <w:szCs w:val="28"/>
        </w:rPr>
        <w:t>при запазване на пътникопотока се очаква да покрие този дефицит.</w:t>
      </w:r>
    </w:p>
    <w:p w14:paraId="39EF04EA" w14:textId="04AE4310" w:rsidR="002F5EA1" w:rsidRPr="006A6951" w:rsidRDefault="000C0962" w:rsidP="00FF37B7">
      <w:pPr>
        <w:pStyle w:val="1"/>
      </w:pPr>
      <w:r w:rsidRPr="006A6951">
        <w:rPr>
          <w:rStyle w:val="10"/>
          <w:rFonts w:ascii="Times New Roman" w:hAnsi="Times New Roman"/>
          <w:bCs/>
          <w:sz w:val="28"/>
          <w:szCs w:val="28"/>
        </w:rPr>
        <w:t xml:space="preserve">С цел справяне с високите цени на горива и ток, </w:t>
      </w:r>
      <w:r w:rsidR="000E6350" w:rsidRPr="006A6951">
        <w:rPr>
          <w:rStyle w:val="10"/>
          <w:rFonts w:ascii="Times New Roman" w:hAnsi="Times New Roman"/>
          <w:bCs/>
          <w:sz w:val="28"/>
          <w:szCs w:val="28"/>
        </w:rPr>
        <w:t xml:space="preserve">и запазване жизнеността на „Общински пътнически транспорт“ ЕООД, </w:t>
      </w:r>
      <w:r w:rsidRPr="006A6951">
        <w:rPr>
          <w:rStyle w:val="10"/>
          <w:rFonts w:ascii="Times New Roman" w:hAnsi="Times New Roman"/>
          <w:bCs/>
          <w:sz w:val="28"/>
          <w:szCs w:val="28"/>
        </w:rPr>
        <w:t>ръководството на дружеството предлага считано от 01.06.2022г. цената на билета за градски транспорт да се увеличи с 50%  и от 1,00лв. да стане 1,50лв. с ДДС.</w:t>
      </w:r>
    </w:p>
    <w:p w14:paraId="417E79A2" w14:textId="55B060CE" w:rsidR="002F5EA1" w:rsidRDefault="00F22F04" w:rsidP="00FF37B7">
      <w:pPr>
        <w:pStyle w:val="1"/>
        <w:rPr>
          <w:rStyle w:val="10"/>
          <w:rFonts w:ascii="Times New Roman" w:hAnsi="Times New Roman"/>
          <w:bCs/>
          <w:color w:val="000000"/>
          <w:sz w:val="28"/>
          <w:szCs w:val="28"/>
        </w:rPr>
      </w:pPr>
      <w:bookmarkStart w:id="5" w:name="_Hlk98227773"/>
      <w:r w:rsidRPr="006A6951">
        <w:rPr>
          <w:rStyle w:val="10"/>
          <w:rFonts w:ascii="Times New Roman" w:hAnsi="Times New Roman"/>
          <w:bCs/>
          <w:sz w:val="28"/>
          <w:szCs w:val="28"/>
        </w:rPr>
        <w:t>При изчисляване цените на картите за пътуване, следва да се приложи принципа за отстъпка при предплащане, да се приспаднат компенсациите от държавата за пътувания по намалени цени, като същевременно с това е необходимо да се съблюдава и социалната поносимост. В тази връзка и предвид обстоятелството, че с карти пътуват онези наши съграждани, за които пътуванията са ежедневни и свързани с придвижване до училище, месторабота и центрове за социални услуги, е целесъобразно, цените на превозните документи да се актуализират със значително по-малък процент спрямо тези на билетите за единични пътувания. Конкретното предложение е ц</w:t>
      </w:r>
      <w:r w:rsidR="000C0962" w:rsidRPr="006A6951">
        <w:rPr>
          <w:rStyle w:val="10"/>
          <w:rFonts w:ascii="Times New Roman" w:hAnsi="Times New Roman"/>
          <w:bCs/>
          <w:sz w:val="28"/>
          <w:szCs w:val="28"/>
        </w:rPr>
        <w:t>ените на всички карти да се актуализират с</w:t>
      </w:r>
      <w:r w:rsidRPr="006A6951">
        <w:rPr>
          <w:rStyle w:val="10"/>
          <w:rFonts w:ascii="Times New Roman" w:hAnsi="Times New Roman"/>
          <w:bCs/>
          <w:sz w:val="28"/>
          <w:szCs w:val="28"/>
        </w:rPr>
        <w:t>амо с</w:t>
      </w:r>
      <w:r w:rsidR="000C0962" w:rsidRPr="006A6951">
        <w:rPr>
          <w:rStyle w:val="10"/>
          <w:rFonts w:ascii="Times New Roman" w:hAnsi="Times New Roman"/>
          <w:bCs/>
          <w:sz w:val="28"/>
          <w:szCs w:val="28"/>
        </w:rPr>
        <w:t xml:space="preserve"> 30%, с оглед на допълнително </w:t>
      </w:r>
      <w:r w:rsidR="000C0962">
        <w:rPr>
          <w:rStyle w:val="10"/>
          <w:rFonts w:ascii="Times New Roman" w:hAnsi="Times New Roman"/>
          <w:bCs/>
          <w:color w:val="000000"/>
          <w:sz w:val="28"/>
          <w:szCs w:val="28"/>
        </w:rPr>
        <w:t>стимулиране на пътуващите, и съответно да бъдат:</w:t>
      </w:r>
    </w:p>
    <w:p w14:paraId="6A7EA99C" w14:textId="77777777" w:rsidR="00CD6A9B" w:rsidRDefault="00CD6A9B" w:rsidP="00FF37B7">
      <w:pPr>
        <w:pStyle w:val="1"/>
      </w:pPr>
    </w:p>
    <w:p w14:paraId="2C0D043C" w14:textId="77777777" w:rsidR="002F5EA1" w:rsidRDefault="000C0962" w:rsidP="00FF37B7">
      <w:pPr>
        <w:pStyle w:val="1"/>
      </w:pPr>
      <w:r>
        <w:rPr>
          <w:rStyle w:val="10"/>
          <w:rFonts w:ascii="Times New Roman" w:hAnsi="Times New Roman"/>
          <w:bCs/>
          <w:color w:val="000000"/>
          <w:sz w:val="28"/>
          <w:szCs w:val="28"/>
        </w:rPr>
        <w:t>- работници всички линии – от 35лв. на 45лв.</w:t>
      </w:r>
    </w:p>
    <w:p w14:paraId="0A68371C" w14:textId="77777777" w:rsidR="002F5EA1" w:rsidRDefault="000C0962" w:rsidP="00FF37B7">
      <w:pPr>
        <w:pStyle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работници 1 линия – от 30лв. на 40лв.</w:t>
      </w:r>
    </w:p>
    <w:p w14:paraId="5B16E152" w14:textId="77777777" w:rsidR="002F5EA1" w:rsidRDefault="000C0962" w:rsidP="00FF37B7">
      <w:pPr>
        <w:pStyle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учащи всички линии – от 20лв. на 26лв.</w:t>
      </w:r>
    </w:p>
    <w:p w14:paraId="17CEF0D1" w14:textId="77777777" w:rsidR="002F5EA1" w:rsidRDefault="000C0962" w:rsidP="00FF37B7">
      <w:pPr>
        <w:pStyle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учащи 1 линия – от 17лв. на 22лв.</w:t>
      </w:r>
    </w:p>
    <w:p w14:paraId="78F93639" w14:textId="77777777" w:rsidR="002F5EA1" w:rsidRDefault="000C0962" w:rsidP="00FF37B7">
      <w:pPr>
        <w:pStyle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пенсионери всички линии – от 26лв. на 34лв.</w:t>
      </w:r>
    </w:p>
    <w:p w14:paraId="0BA220AC" w14:textId="77777777" w:rsidR="002F5EA1" w:rsidRDefault="000C0962" w:rsidP="00FF37B7">
      <w:pPr>
        <w:pStyle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пенсионери 1 линия – от 22лв. на 29лв.;</w:t>
      </w:r>
    </w:p>
    <w:p w14:paraId="65CC129D" w14:textId="77777777" w:rsidR="002F5EA1" w:rsidRDefault="000C0962" w:rsidP="00FF37B7">
      <w:pPr>
        <w:pStyle w:val="1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- пенсионери всички линии с часово ограничение от 9:00 ч.- от 15лв на 20 лв.;</w:t>
      </w:r>
    </w:p>
    <w:p w14:paraId="60F310B6" w14:textId="2C5A7F0C" w:rsidR="002F5EA1" w:rsidRDefault="000C0962" w:rsidP="00FF37B7">
      <w:pPr>
        <w:pStyle w:val="1"/>
        <w:rPr>
          <w:rStyle w:val="10"/>
          <w:rFonts w:ascii="Times New Roman" w:hAnsi="Times New Roman"/>
          <w:bCs/>
          <w:color w:val="000000"/>
          <w:sz w:val="28"/>
          <w:szCs w:val="28"/>
        </w:rPr>
      </w:pPr>
      <w:r>
        <w:rPr>
          <w:rStyle w:val="10"/>
          <w:rFonts w:ascii="Times New Roman" w:hAnsi="Times New Roman"/>
          <w:bCs/>
          <w:color w:val="000000"/>
          <w:sz w:val="28"/>
          <w:szCs w:val="28"/>
        </w:rPr>
        <w:t>- пенсионери всички линии с часово ограничение от 9:00 ч. до 16:00ч. - от 13лв на 17 лв.;</w:t>
      </w:r>
    </w:p>
    <w:p w14:paraId="26C8C3F5" w14:textId="77777777" w:rsidR="008B648D" w:rsidRDefault="008B648D" w:rsidP="00FF37B7">
      <w:pPr>
        <w:pStyle w:val="1"/>
      </w:pPr>
    </w:p>
    <w:bookmarkEnd w:id="5"/>
    <w:p w14:paraId="3E141A67" w14:textId="211FC92B" w:rsidR="006A6951" w:rsidRDefault="006A6951" w:rsidP="00FF37B7">
      <w:pPr>
        <w:pStyle w:val="1"/>
        <w:rPr>
          <w:rStyle w:val="10"/>
          <w:rFonts w:ascii="Times New Roman" w:hAnsi="Times New Roman"/>
          <w:b/>
          <w:color w:val="000000"/>
          <w:sz w:val="28"/>
          <w:szCs w:val="28"/>
        </w:rPr>
      </w:pPr>
    </w:p>
    <w:p w14:paraId="5B7535A2" w14:textId="3A977ED7" w:rsidR="008B648D" w:rsidRDefault="008B648D" w:rsidP="00FF37B7">
      <w:pPr>
        <w:pStyle w:val="1"/>
        <w:rPr>
          <w:rStyle w:val="10"/>
          <w:rFonts w:ascii="Times New Roman" w:hAnsi="Times New Roman"/>
          <w:b/>
          <w:color w:val="000000"/>
          <w:sz w:val="28"/>
          <w:szCs w:val="28"/>
        </w:rPr>
      </w:pPr>
    </w:p>
    <w:p w14:paraId="60E9C2AA" w14:textId="02DDD552" w:rsidR="008B648D" w:rsidRDefault="008B648D" w:rsidP="00FF37B7">
      <w:pPr>
        <w:pStyle w:val="1"/>
        <w:rPr>
          <w:rStyle w:val="10"/>
          <w:rFonts w:ascii="Times New Roman" w:hAnsi="Times New Roman"/>
          <w:b/>
          <w:color w:val="000000"/>
          <w:sz w:val="28"/>
          <w:szCs w:val="28"/>
        </w:rPr>
      </w:pPr>
    </w:p>
    <w:p w14:paraId="134D4AF0" w14:textId="77777777" w:rsidR="008B648D" w:rsidRDefault="008B648D" w:rsidP="00FF37B7">
      <w:pPr>
        <w:pStyle w:val="1"/>
        <w:rPr>
          <w:rStyle w:val="10"/>
          <w:rFonts w:ascii="Times New Roman" w:hAnsi="Times New Roman"/>
          <w:b/>
          <w:color w:val="000000"/>
          <w:sz w:val="28"/>
          <w:szCs w:val="28"/>
        </w:rPr>
      </w:pPr>
    </w:p>
    <w:p w14:paraId="27850803" w14:textId="77777777" w:rsidR="004B3943" w:rsidRDefault="004B3943">
      <w:pPr>
        <w:rPr>
          <w:rStyle w:val="10"/>
          <w:rFonts w:ascii="Times New Roman" w:hAnsi="Times New Roman"/>
          <w:b/>
          <w:color w:val="000000"/>
          <w:sz w:val="28"/>
          <w:szCs w:val="28"/>
        </w:rPr>
      </w:pPr>
      <w:r>
        <w:rPr>
          <w:rStyle w:val="10"/>
          <w:rFonts w:ascii="Times New Roman" w:hAnsi="Times New Roman"/>
          <w:b/>
          <w:color w:val="000000"/>
          <w:sz w:val="28"/>
          <w:szCs w:val="28"/>
        </w:rPr>
        <w:br w:type="page"/>
      </w:r>
    </w:p>
    <w:p w14:paraId="1A950860" w14:textId="44293837" w:rsidR="002F5EA1" w:rsidRDefault="000C0962" w:rsidP="00FF37B7">
      <w:pPr>
        <w:pStyle w:val="1"/>
        <w:rPr>
          <w:rStyle w:val="10"/>
          <w:rFonts w:ascii="Times New Roman" w:hAnsi="Times New Roman"/>
          <w:bCs/>
          <w:color w:val="000000"/>
          <w:sz w:val="28"/>
          <w:szCs w:val="28"/>
        </w:rPr>
      </w:pPr>
      <w:r>
        <w:rPr>
          <w:rStyle w:val="10"/>
          <w:rFonts w:ascii="Times New Roman" w:hAnsi="Times New Roman"/>
          <w:b/>
          <w:color w:val="000000"/>
          <w:sz w:val="28"/>
          <w:szCs w:val="28"/>
        </w:rPr>
        <w:lastRenderedPageBreak/>
        <w:t xml:space="preserve">Таблица </w:t>
      </w:r>
      <w:r w:rsidR="00AF1B2F">
        <w:rPr>
          <w:rStyle w:val="10"/>
          <w:rFonts w:ascii="Times New Roman" w:hAnsi="Times New Roman"/>
          <w:b/>
          <w:color w:val="000000"/>
          <w:sz w:val="28"/>
          <w:szCs w:val="28"/>
        </w:rPr>
        <w:t>9</w:t>
      </w:r>
      <w:r>
        <w:rPr>
          <w:rStyle w:val="10"/>
          <w:rFonts w:ascii="Times New Roman" w:hAnsi="Times New Roman"/>
          <w:b/>
          <w:color w:val="000000"/>
          <w:sz w:val="28"/>
          <w:szCs w:val="28"/>
        </w:rPr>
        <w:t>:</w:t>
      </w:r>
      <w:r>
        <w:rPr>
          <w:rStyle w:val="1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CD6A9B">
        <w:rPr>
          <w:rStyle w:val="10"/>
          <w:rFonts w:ascii="Times New Roman" w:hAnsi="Times New Roman"/>
          <w:bCs/>
          <w:color w:val="000000"/>
          <w:sz w:val="28"/>
          <w:szCs w:val="28"/>
        </w:rPr>
        <w:t>Финансов резултат</w:t>
      </w:r>
      <w:r>
        <w:rPr>
          <w:rStyle w:val="10"/>
          <w:rFonts w:ascii="Times New Roman" w:hAnsi="Times New Roman"/>
          <w:bCs/>
          <w:color w:val="000000"/>
          <w:sz w:val="28"/>
          <w:szCs w:val="28"/>
        </w:rPr>
        <w:t xml:space="preserve"> по  линии от общинска и областна транспортна схема за 2021г.</w:t>
      </w:r>
    </w:p>
    <w:p w14:paraId="7EE5546A" w14:textId="77777777" w:rsidR="00CD6A9B" w:rsidRDefault="00CD6A9B" w:rsidP="00FF37B7">
      <w:pPr>
        <w:pStyle w:val="1"/>
      </w:pPr>
    </w:p>
    <w:tbl>
      <w:tblPr>
        <w:tblW w:w="106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2"/>
        <w:gridCol w:w="171"/>
        <w:gridCol w:w="721"/>
        <w:gridCol w:w="24"/>
        <w:gridCol w:w="736"/>
        <w:gridCol w:w="74"/>
        <w:gridCol w:w="736"/>
        <w:gridCol w:w="156"/>
        <w:gridCol w:w="759"/>
        <w:gridCol w:w="130"/>
        <w:gridCol w:w="705"/>
        <w:gridCol w:w="328"/>
        <w:gridCol w:w="552"/>
        <w:gridCol w:w="288"/>
        <w:gridCol w:w="558"/>
        <w:gridCol w:w="282"/>
        <w:gridCol w:w="540"/>
        <w:gridCol w:w="257"/>
        <w:gridCol w:w="610"/>
        <w:gridCol w:w="204"/>
        <w:gridCol w:w="900"/>
        <w:gridCol w:w="972"/>
      </w:tblGrid>
      <w:tr w:rsidR="002F5EA1" w14:paraId="449F6221" w14:textId="77777777" w:rsidTr="00AF1B2F">
        <w:trPr>
          <w:trHeight w:val="288"/>
        </w:trPr>
        <w:tc>
          <w:tcPr>
            <w:tcW w:w="183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6F08FD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 xml:space="preserve">Линия 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B8C20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 </w:t>
            </w:r>
          </w:p>
        </w:tc>
        <w:tc>
          <w:tcPr>
            <w:tcW w:w="2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7700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Приходи бруто от :</w:t>
            </w:r>
          </w:p>
        </w:tc>
        <w:tc>
          <w:tcPr>
            <w:tcW w:w="84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910027" w14:textId="77777777" w:rsidR="002F5EA1" w:rsidRDefault="002F5EA1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</w:p>
        </w:tc>
        <w:tc>
          <w:tcPr>
            <w:tcW w:w="84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BFA293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97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CCA30A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1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794F8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0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3ABBDE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7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462251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</w:tr>
      <w:tr w:rsidR="002F5EA1" w14:paraId="75165E6E" w14:textId="77777777" w:rsidTr="00AF1B2F">
        <w:trPr>
          <w:trHeight w:val="1590"/>
        </w:trPr>
        <w:tc>
          <w:tcPr>
            <w:tcW w:w="183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846AA0" w14:textId="77777777" w:rsidR="002F5EA1" w:rsidRDefault="002F5EA1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FB3F69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bg-BG"/>
              </w:rPr>
              <w:t>Пробег, км.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BC7D55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bg-BG"/>
              </w:rPr>
              <w:t>Приходи от продажба на превозни документи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E20E5B7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bg-BG"/>
              </w:rPr>
              <w:t>Компенсации, лв.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19946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bg-BG"/>
              </w:rPr>
              <w:t>Всичко бруто, лв.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5EA45C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bg-BG"/>
              </w:rPr>
              <w:t>Всичко нето, лв.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D423C8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bg-BG"/>
              </w:rPr>
              <w:t>Субсидии, лв.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D78A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sz w:val="16"/>
                <w:szCs w:val="16"/>
                <w:lang w:eastAsia="bg-BG"/>
              </w:rPr>
            </w:pPr>
            <w:r>
              <w:rPr>
                <w:rFonts w:cs="Calibri"/>
                <w:color w:val="000000"/>
                <w:sz w:val="16"/>
                <w:szCs w:val="16"/>
                <w:lang w:eastAsia="bg-BG"/>
              </w:rPr>
              <w:t>Помощи пандемия , лв.</w:t>
            </w:r>
          </w:p>
        </w:tc>
        <w:tc>
          <w:tcPr>
            <w:tcW w:w="8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9DBE8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bg-BG"/>
              </w:rPr>
              <w:t>Всичко  нетни приходи, лв.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63330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bg-BG"/>
              </w:rPr>
              <w:t>Всичко разходи, лв.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56A575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16"/>
                <w:szCs w:val="16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bg-BG"/>
              </w:rPr>
              <w:t>Резултат, лв</w:t>
            </w:r>
          </w:p>
        </w:tc>
      </w:tr>
      <w:tr w:rsidR="002F5EA1" w14:paraId="0069899B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1959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Балани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40CBB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4576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A9442A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700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A8DE1E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166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DFD16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866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32D2E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722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A8FEA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1440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3EF8D5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1127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DCCFE1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3289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FD60A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4082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62F54E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-793</w:t>
            </w:r>
          </w:p>
        </w:tc>
      </w:tr>
      <w:tr w:rsidR="002F5EA1" w14:paraId="31BE9C7D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D0B1B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Боженци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3F5C8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24928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CC959B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7818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9445D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853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8C7A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8671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1F9355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7226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63D29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7846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919802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6137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17053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21209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BEF3B3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22236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97E1CF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-1026</w:t>
            </w:r>
          </w:p>
        </w:tc>
      </w:tr>
      <w:tr w:rsidR="002F5EA1" w14:paraId="257B0B17" w14:textId="77777777" w:rsidTr="00AF1B2F">
        <w:trPr>
          <w:trHeight w:val="600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63C87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Борики-</w:t>
            </w:r>
            <w:proofErr w:type="spellStart"/>
            <w:r>
              <w:rPr>
                <w:rFonts w:cs="Calibri"/>
                <w:color w:val="000000"/>
                <w:lang w:eastAsia="bg-BG"/>
              </w:rPr>
              <w:t>Орл</w:t>
            </w:r>
            <w:proofErr w:type="spellEnd"/>
            <w:r>
              <w:rPr>
                <w:rFonts w:cs="Calibri"/>
                <w:color w:val="000000"/>
                <w:lang w:eastAsia="bg-BG"/>
              </w:rPr>
              <w:t>.-Дон.-Костен.-Велковци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CCEE12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5734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D5F916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625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C1A4F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106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E1BD98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731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33365A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609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8F52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 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A0FC68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1412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000090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2021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228BE6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5115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5DCC80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-3094</w:t>
            </w:r>
          </w:p>
        </w:tc>
      </w:tr>
      <w:tr w:rsidR="002F5EA1" w14:paraId="71026812" w14:textId="77777777" w:rsidTr="00AF1B2F">
        <w:trPr>
          <w:trHeight w:val="255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653ADB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Дебел дял/Врабци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8FEB07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7216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3854F7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917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20775F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268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906A39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1185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8106F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988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AB326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2271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B8E56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1777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61175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5035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8C2AB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6437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F0FC0E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-1401</w:t>
            </w:r>
          </w:p>
        </w:tc>
      </w:tr>
      <w:tr w:rsidR="002F5EA1" w14:paraId="0EAE153F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45F6338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Козирог-Здравковец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6E056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23904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D1304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4834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351B88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810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6E1C28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5644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3AE5C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4703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8EB6F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7524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0D5B39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5885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717678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18112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DAAE7D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21322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4C389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-3210</w:t>
            </w:r>
          </w:p>
        </w:tc>
      </w:tr>
      <w:tr w:rsidR="002F5EA1" w14:paraId="01755EF2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71C76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Костенковци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FAEEF6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24560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AE56F2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4593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4A33E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824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B59195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5417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9F06B9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4514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D1E25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7730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401B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6047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21829F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18291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9CE4C2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21908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009589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-3616</w:t>
            </w:r>
          </w:p>
        </w:tc>
      </w:tr>
      <w:tr w:rsidR="002F5EA1" w14:paraId="43A2C3F7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C829E8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Лоза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FC6168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5478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3193A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1064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97C9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181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2C862D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1245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246575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1038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552F2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 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FE58AA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1349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C2A7A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2386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16776A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4886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F00954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-2500</w:t>
            </w:r>
          </w:p>
        </w:tc>
      </w:tr>
      <w:tr w:rsidR="002F5EA1" w14:paraId="1ACA5AC3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4BCA9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Михайловци-Армени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0688BF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19422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B8C9B2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1610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1EA85A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642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2D53C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2252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F2921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1877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A5B2E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 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E8FF1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4782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8E7669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6659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17362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17324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945D42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-10666</w:t>
            </w:r>
          </w:p>
        </w:tc>
      </w:tr>
      <w:tr w:rsidR="002F5EA1" w14:paraId="5C2C3920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0089DA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Михайловци - Лоза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947C4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15695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6FEE7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4814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1BC95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532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89395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5346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1287B5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4455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ECF6A7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 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BF64F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3864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90708F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8319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3ACCDB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14000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FD1BC28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-5681</w:t>
            </w:r>
          </w:p>
        </w:tc>
      </w:tr>
      <w:tr w:rsidR="002F5EA1" w14:paraId="2A639034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985E5D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Музга(Стоевци)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8D22E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43351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53F1A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11005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694277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1467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7CA0A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12472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7EB062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10393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4175C5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13645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4FDC1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10673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BA0EF4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34711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DC88E0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44868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7BB1DF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-10157</w:t>
            </w:r>
          </w:p>
        </w:tc>
      </w:tr>
      <w:tr w:rsidR="002F5EA1" w14:paraId="08E089BF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9FECB6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Николчевци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48E972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13508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308066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4089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BA958E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453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0853E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4542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86E32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3785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C48E0D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 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8A8ED9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3326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96D3B5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7111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44750F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12049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4BA407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-4938</w:t>
            </w:r>
          </w:p>
        </w:tc>
      </w:tr>
      <w:tr w:rsidR="002F5EA1" w14:paraId="331432EA" w14:textId="77777777" w:rsidTr="00AF1B2F">
        <w:trPr>
          <w:trHeight w:val="5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118C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Николчовци-Лоза-Армени(Новаковци)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EFC969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9566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0E691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2694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E21D5A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320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8CCD8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3014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B67B7B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2512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BEED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 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F6305A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2355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A9D7C5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4867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C769B2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8533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EB64A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-3666</w:t>
            </w:r>
          </w:p>
        </w:tc>
      </w:tr>
      <w:tr w:rsidR="002F5EA1" w14:paraId="0EA750A1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F2029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Орловци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593A0F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8964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532EE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1223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4FBA5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296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AD5CD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1519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CED8CD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1266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601B9F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2821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089D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2207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85BABA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6294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594A82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7996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18C4E5E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-1702</w:t>
            </w:r>
          </w:p>
        </w:tc>
      </w:tr>
      <w:tr w:rsidR="002F5EA1" w14:paraId="5B8F4247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CFA38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Поповци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A805FF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11634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FABE56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4027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64B3A6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361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4CA8F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4388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FA03E3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3657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3E93D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 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C7B7D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2864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E424B8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6521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61857A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10378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4A82F9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-3856</w:t>
            </w:r>
          </w:p>
        </w:tc>
      </w:tr>
      <w:tr w:rsidR="002F5EA1" w14:paraId="0E5ECA2F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EE83FF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proofErr w:type="spellStart"/>
            <w:r>
              <w:rPr>
                <w:rFonts w:cs="Calibri"/>
                <w:color w:val="000000"/>
                <w:lang w:eastAsia="bg-BG"/>
              </w:rPr>
              <w:t>Разковци</w:t>
            </w:r>
            <w:proofErr w:type="spellEnd"/>
            <w:r>
              <w:rPr>
                <w:rFonts w:cs="Calibri"/>
                <w:color w:val="000000"/>
                <w:lang w:eastAsia="bg-BG"/>
              </w:rPr>
              <w:t>-</w:t>
            </w:r>
            <w:proofErr w:type="spellStart"/>
            <w:r>
              <w:rPr>
                <w:rFonts w:cs="Calibri"/>
                <w:color w:val="000000"/>
                <w:lang w:eastAsia="bg-BG"/>
              </w:rPr>
              <w:t>Киеви</w:t>
            </w:r>
            <w:proofErr w:type="spellEnd"/>
            <w:r>
              <w:rPr>
                <w:rFonts w:cs="Calibri"/>
                <w:color w:val="000000"/>
                <w:lang w:eastAsia="bg-BG"/>
              </w:rPr>
              <w:t>-Думници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4A9E2F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2744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35508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499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01D339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92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10F7D8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591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0CD8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493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DA308D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 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857B8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676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DFF321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1168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F2F12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2448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3DCFEE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-1280</w:t>
            </w:r>
          </w:p>
        </w:tc>
      </w:tr>
      <w:tr w:rsidR="002F5EA1" w14:paraId="7189AA1A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F362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Севлиево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C6DA6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124070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175517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128794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2840C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4155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48E715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132949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D5E899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110791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8F28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 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BE5D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30547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FCBAE0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141338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99FA71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146651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299D70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-5313</w:t>
            </w:r>
          </w:p>
        </w:tc>
      </w:tr>
      <w:tr w:rsidR="002F5EA1" w14:paraId="5FF195C1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4F8E2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Соколски манастир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E0907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2800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7CF942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112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316C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105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E3DF8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217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DC0CDE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181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E66CDA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 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AB69F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689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6CB9EB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870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254324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2498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8D7C97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-1627</w:t>
            </w:r>
          </w:p>
        </w:tc>
      </w:tr>
      <w:tr w:rsidR="002F5EA1" w14:paraId="6CF958EA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0AF257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Тота Венкова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FFDCA9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4590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C0E5D5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428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DFD3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140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626E7FD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568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9EAEAD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473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FED8E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1445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6917BD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1130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05527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3048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8F6213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4094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B279D9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-1046</w:t>
            </w:r>
          </w:p>
        </w:tc>
      </w:tr>
      <w:tr w:rsidR="002F5EA1" w14:paraId="034B260D" w14:textId="77777777" w:rsidTr="00AF1B2F">
        <w:trPr>
          <w:trHeight w:val="288"/>
        </w:trPr>
        <w:tc>
          <w:tcPr>
            <w:tcW w:w="109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D4F61B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Узана</w:t>
            </w:r>
          </w:p>
        </w:tc>
        <w:tc>
          <w:tcPr>
            <w:tcW w:w="7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F22F4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 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C2C28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2898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6B5F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876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7F06B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149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307ED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1025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F6722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854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4597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912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0838F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714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7D36D1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2480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CAB6B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2585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390A41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-105</w:t>
            </w:r>
          </w:p>
        </w:tc>
      </w:tr>
      <w:tr w:rsidR="002F5EA1" w14:paraId="34B2B629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FF6A4E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Ясени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9E2B47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16536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EED6E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1328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17560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580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64B0AF4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1908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EFFB05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1590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7DDA7D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5205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33C7EC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4071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8992C3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10866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CFF737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14750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4BD18B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-3884</w:t>
            </w:r>
          </w:p>
        </w:tc>
      </w:tr>
      <w:tr w:rsidR="002F5EA1" w14:paraId="0129844B" w14:textId="77777777" w:rsidTr="00AF1B2F">
        <w:trPr>
          <w:trHeight w:val="288"/>
        </w:trPr>
        <w:tc>
          <w:tcPr>
            <w:tcW w:w="1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3159E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Всичко :</w:t>
            </w:r>
          </w:p>
        </w:tc>
        <w:tc>
          <w:tcPr>
            <w:tcW w:w="81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1164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372174</w:t>
            </w:r>
          </w:p>
        </w:tc>
        <w:tc>
          <w:tcPr>
            <w:tcW w:w="89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9F9CE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182050</w:t>
            </w:r>
          </w:p>
        </w:tc>
        <w:tc>
          <w:tcPr>
            <w:tcW w:w="88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51E802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12500</w:t>
            </w:r>
          </w:p>
        </w:tc>
        <w:tc>
          <w:tcPr>
            <w:tcW w:w="1033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3E7C2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194550</w:t>
            </w:r>
          </w:p>
        </w:tc>
        <w:tc>
          <w:tcPr>
            <w:tcW w:w="840" w:type="dxa"/>
            <w:gridSpan w:val="2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2CCAF0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162125</w:t>
            </w:r>
          </w:p>
        </w:tc>
        <w:tc>
          <w:tcPr>
            <w:tcW w:w="8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724802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50839</w:t>
            </w:r>
          </w:p>
        </w:tc>
        <w:tc>
          <w:tcPr>
            <w:tcW w:w="79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414101" w14:textId="77777777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91632</w:t>
            </w:r>
          </w:p>
        </w:tc>
        <w:tc>
          <w:tcPr>
            <w:tcW w:w="81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6799C1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304596</w:t>
            </w:r>
          </w:p>
        </w:tc>
        <w:tc>
          <w:tcPr>
            <w:tcW w:w="9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826B84" w14:textId="77777777" w:rsidR="002F5EA1" w:rsidRDefault="000C0962" w:rsidP="00FF37B7">
            <w:pPr>
              <w:pStyle w:val="1"/>
              <w:textAlignment w:val="auto"/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bg-BG"/>
              </w:rPr>
              <w:t>374159</w:t>
            </w:r>
          </w:p>
        </w:tc>
        <w:tc>
          <w:tcPr>
            <w:tcW w:w="9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6357BB" w14:textId="77777777" w:rsidR="002F5EA1" w:rsidRDefault="000C0962" w:rsidP="00FF37B7">
            <w:pPr>
              <w:pStyle w:val="1"/>
              <w:textAlignment w:val="auto"/>
            </w:pPr>
            <w:r>
              <w:rPr>
                <w:rStyle w:val="10"/>
                <w:rFonts w:ascii="Arial" w:hAnsi="Arial" w:cs="Arial"/>
                <w:b/>
                <w:bCs/>
                <w:color w:val="FF0000"/>
                <w:sz w:val="20"/>
                <w:szCs w:val="20"/>
                <w:lang w:eastAsia="bg-BG"/>
              </w:rPr>
              <w:t>-69563</w:t>
            </w:r>
          </w:p>
        </w:tc>
      </w:tr>
      <w:tr w:rsidR="002F5EA1" w14:paraId="574F1114" w14:textId="77777777" w:rsidTr="004B3943">
        <w:trPr>
          <w:trHeight w:val="288"/>
        </w:trPr>
        <w:tc>
          <w:tcPr>
            <w:tcW w:w="8549" w:type="dxa"/>
            <w:gridSpan w:val="1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526B8" w14:textId="5E66E5DE" w:rsidR="002F5EA1" w:rsidRDefault="000C0962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  <w:r>
              <w:rPr>
                <w:rFonts w:cs="Calibri"/>
                <w:color w:val="000000"/>
                <w:lang w:eastAsia="bg-BG"/>
              </w:rPr>
              <w:t>Разходи :  автобус до 22 места - 0.89 лв./км;  автобус над 22 места - 1.18 лв./</w:t>
            </w:r>
          </w:p>
        </w:tc>
        <w:tc>
          <w:tcPr>
            <w:tcW w:w="20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DB485B" w14:textId="77777777" w:rsidR="002F5EA1" w:rsidRDefault="002F5EA1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73B59C" w14:textId="77777777" w:rsidR="002F5EA1" w:rsidRDefault="002F5EA1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</w:p>
        </w:tc>
        <w:tc>
          <w:tcPr>
            <w:tcW w:w="9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0AE063" w14:textId="77777777" w:rsidR="002F5EA1" w:rsidRDefault="002F5EA1" w:rsidP="00FF37B7">
            <w:pPr>
              <w:pStyle w:val="1"/>
              <w:textAlignment w:val="auto"/>
              <w:rPr>
                <w:rFonts w:cs="Calibri"/>
                <w:color w:val="000000"/>
                <w:lang w:eastAsia="bg-BG"/>
              </w:rPr>
            </w:pPr>
          </w:p>
        </w:tc>
      </w:tr>
      <w:tr w:rsidR="002F5EA1" w14:paraId="5C005501" w14:textId="77777777" w:rsidTr="004B3943">
        <w:trPr>
          <w:trHeight w:val="288"/>
        </w:trPr>
        <w:tc>
          <w:tcPr>
            <w:tcW w:w="9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4F0150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92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213C1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ECCE12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AA6526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75021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C9B5FC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8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5786FF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2C79F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22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10D038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67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10A352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0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567CB8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B8950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CFC689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</w:tr>
      <w:tr w:rsidR="002F5EA1" w14:paraId="21FA51CF" w14:textId="77777777" w:rsidTr="004B3943">
        <w:trPr>
          <w:trHeight w:val="288"/>
        </w:trPr>
        <w:tc>
          <w:tcPr>
            <w:tcW w:w="9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C9DC09" w14:textId="00D5334C" w:rsidR="002F5EA1" w:rsidRDefault="00245720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  <w:r>
              <w:rPr>
                <w:rFonts w:ascii="Times New Roman" w:hAnsi="Times New Roman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892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0B027C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76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B383F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1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59A3A1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1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E709B0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35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6B999A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80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F07BAA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46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C516F9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22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0F5614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867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660E6A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20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43C77B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0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48A4C1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  <w:tc>
          <w:tcPr>
            <w:tcW w:w="97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56FAE" w14:textId="77777777" w:rsidR="002F5EA1" w:rsidRDefault="002F5EA1" w:rsidP="00FF37B7">
            <w:pPr>
              <w:pStyle w:val="1"/>
              <w:textAlignment w:val="auto"/>
              <w:rPr>
                <w:rFonts w:ascii="Times New Roman" w:hAnsi="Times New Roman"/>
                <w:sz w:val="20"/>
                <w:szCs w:val="20"/>
                <w:lang w:eastAsia="bg-BG"/>
              </w:rPr>
            </w:pPr>
          </w:p>
        </w:tc>
      </w:tr>
    </w:tbl>
    <w:p w14:paraId="1206F195" w14:textId="4AFDBF1A" w:rsidR="00AF1B2F" w:rsidRPr="00AF1B2F" w:rsidRDefault="00AF1B2F" w:rsidP="00AF1B2F">
      <w:pPr>
        <w:pStyle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Таблица 10</w:t>
      </w:r>
      <w:r w:rsidRPr="00AF1B2F">
        <w:rPr>
          <w:rFonts w:ascii="Times New Roman" w:hAnsi="Times New Roman"/>
          <w:b/>
          <w:sz w:val="28"/>
          <w:szCs w:val="28"/>
        </w:rPr>
        <w:t>:</w:t>
      </w:r>
      <w:r w:rsidRPr="00AF1B2F">
        <w:rPr>
          <w:rFonts w:ascii="Times New Roman" w:hAnsi="Times New Roman"/>
          <w:b/>
          <w:bCs/>
          <w:sz w:val="28"/>
          <w:szCs w:val="28"/>
        </w:rPr>
        <w:t xml:space="preserve"> Нетни разходи за превоз по линии от общинска и областна транспортна схема</w:t>
      </w:r>
      <w:bookmarkStart w:id="6" w:name="_MON_1711367285"/>
      <w:bookmarkEnd w:id="6"/>
      <w:r w:rsidRPr="00AF1B2F">
        <w:rPr>
          <w:rFonts w:ascii="Times New Roman" w:hAnsi="Times New Roman"/>
          <w:b/>
          <w:sz w:val="28"/>
          <w:szCs w:val="28"/>
        </w:rPr>
        <w:object w:dxaOrig="9326" w:dyaOrig="4703" w14:anchorId="14C9852E">
          <v:shape id="_x0000_i1028" type="#_x0000_t75" style="width:466.5pt;height:235.5pt" o:ole="">
            <v:imagedata r:id="rId13" o:title=""/>
          </v:shape>
          <o:OLEObject Type="Embed" ProgID="Excel.Sheet.12" ShapeID="_x0000_i1028" DrawAspect="Content" ObjectID="_1711377212" r:id="rId14"/>
        </w:object>
      </w:r>
    </w:p>
    <w:p w14:paraId="4DE5A917" w14:textId="77777777" w:rsidR="00AF1B2F" w:rsidRDefault="00AF1B2F" w:rsidP="00FF37B7">
      <w:pPr>
        <w:pStyle w:val="1"/>
        <w:rPr>
          <w:rStyle w:val="10"/>
          <w:rFonts w:ascii="Times New Roman" w:hAnsi="Times New Roman"/>
          <w:b/>
          <w:sz w:val="28"/>
          <w:szCs w:val="28"/>
        </w:rPr>
      </w:pPr>
    </w:p>
    <w:p w14:paraId="7E94AC05" w14:textId="77777777" w:rsidR="00AF1B2F" w:rsidRDefault="00AF1B2F" w:rsidP="00FF37B7">
      <w:pPr>
        <w:pStyle w:val="1"/>
        <w:rPr>
          <w:rStyle w:val="10"/>
          <w:rFonts w:ascii="Times New Roman" w:hAnsi="Times New Roman"/>
          <w:b/>
          <w:sz w:val="28"/>
          <w:szCs w:val="28"/>
        </w:rPr>
      </w:pPr>
    </w:p>
    <w:p w14:paraId="289845C3" w14:textId="77777777" w:rsidR="00AF1B2F" w:rsidRDefault="00AF1B2F" w:rsidP="00FF37B7">
      <w:pPr>
        <w:pStyle w:val="1"/>
        <w:rPr>
          <w:rStyle w:val="10"/>
          <w:rFonts w:ascii="Times New Roman" w:hAnsi="Times New Roman"/>
          <w:b/>
          <w:sz w:val="28"/>
          <w:szCs w:val="28"/>
        </w:rPr>
      </w:pPr>
    </w:p>
    <w:p w14:paraId="361B0053" w14:textId="5B594508" w:rsidR="00416C21" w:rsidRDefault="005356E9" w:rsidP="00FF37B7">
      <w:pPr>
        <w:pStyle w:val="1"/>
        <w:rPr>
          <w:rStyle w:val="10"/>
          <w:rFonts w:ascii="Times New Roman" w:hAnsi="Times New Roman"/>
          <w:bCs/>
          <w:sz w:val="28"/>
          <w:szCs w:val="28"/>
        </w:rPr>
      </w:pPr>
      <w:r w:rsidRPr="00013253">
        <w:rPr>
          <w:rStyle w:val="10"/>
          <w:rFonts w:ascii="Times New Roman" w:hAnsi="Times New Roman"/>
          <w:b/>
          <w:sz w:val="28"/>
          <w:szCs w:val="28"/>
        </w:rPr>
        <w:t>Таблица 1</w:t>
      </w:r>
      <w:r w:rsidR="00CD6A9B">
        <w:rPr>
          <w:rStyle w:val="10"/>
          <w:rFonts w:ascii="Times New Roman" w:hAnsi="Times New Roman"/>
          <w:b/>
          <w:sz w:val="28"/>
          <w:szCs w:val="28"/>
        </w:rPr>
        <w:t>1</w:t>
      </w:r>
      <w:r>
        <w:rPr>
          <w:rStyle w:val="10"/>
          <w:rFonts w:ascii="Times New Roman" w:hAnsi="Times New Roman"/>
          <w:bCs/>
          <w:sz w:val="28"/>
          <w:szCs w:val="28"/>
        </w:rPr>
        <w:t xml:space="preserve">: Прогнозни приходи </w:t>
      </w:r>
      <w:r w:rsidR="00245720">
        <w:rPr>
          <w:rStyle w:val="10"/>
          <w:rFonts w:ascii="Times New Roman" w:hAnsi="Times New Roman"/>
          <w:bCs/>
          <w:sz w:val="28"/>
          <w:szCs w:val="28"/>
        </w:rPr>
        <w:t>от превоз по общинска и областна транспортна схема през 2022г.</w:t>
      </w:r>
    </w:p>
    <w:p w14:paraId="451A0A9F" w14:textId="77777777" w:rsidR="00013253" w:rsidRDefault="00013253" w:rsidP="00FF37B7">
      <w:pPr>
        <w:pStyle w:val="1"/>
        <w:rPr>
          <w:rStyle w:val="10"/>
          <w:rFonts w:ascii="Times New Roman" w:hAnsi="Times New Roman"/>
          <w:bCs/>
          <w:sz w:val="28"/>
          <w:szCs w:val="28"/>
        </w:rPr>
      </w:pPr>
    </w:p>
    <w:bookmarkStart w:id="7" w:name="_MON_1711365453"/>
    <w:bookmarkEnd w:id="7"/>
    <w:p w14:paraId="09A7262D" w14:textId="7AEA6E8D" w:rsidR="00245720" w:rsidRDefault="00CD6A9B" w:rsidP="00B777B0">
      <w:pPr>
        <w:pStyle w:val="1"/>
        <w:jc w:val="center"/>
        <w:rPr>
          <w:rStyle w:val="10"/>
          <w:rFonts w:ascii="Times New Roman" w:hAnsi="Times New Roman"/>
          <w:bCs/>
          <w:sz w:val="28"/>
          <w:szCs w:val="28"/>
        </w:rPr>
      </w:pPr>
      <w:r>
        <w:rPr>
          <w:rStyle w:val="10"/>
          <w:rFonts w:ascii="Times New Roman" w:hAnsi="Times New Roman"/>
          <w:bCs/>
          <w:sz w:val="28"/>
          <w:szCs w:val="28"/>
        </w:rPr>
        <w:object w:dxaOrig="7581" w:dyaOrig="2705" w14:anchorId="7CA7EFED">
          <v:shape id="_x0000_i1027" type="#_x0000_t75" style="width:378.75pt;height:135pt" o:ole="">
            <v:imagedata r:id="rId15" o:title=""/>
          </v:shape>
          <o:OLEObject Type="Embed" ProgID="Excel.Sheet.12" ShapeID="_x0000_i1027" DrawAspect="Content" ObjectID="_1711377213" r:id="rId16"/>
        </w:object>
      </w:r>
    </w:p>
    <w:p w14:paraId="1DC4AE73" w14:textId="77777777" w:rsidR="00416C21" w:rsidRDefault="00416C21" w:rsidP="00FF37B7">
      <w:pPr>
        <w:pStyle w:val="1"/>
        <w:rPr>
          <w:rStyle w:val="10"/>
          <w:rFonts w:ascii="Times New Roman" w:hAnsi="Times New Roman"/>
          <w:bCs/>
          <w:sz w:val="28"/>
          <w:szCs w:val="28"/>
        </w:rPr>
      </w:pPr>
    </w:p>
    <w:p w14:paraId="1B2145BF" w14:textId="365ED920" w:rsidR="002F5EA1" w:rsidRDefault="00F22F04" w:rsidP="00FF37B7">
      <w:pPr>
        <w:pStyle w:val="1"/>
        <w:rPr>
          <w:rStyle w:val="10"/>
          <w:rFonts w:ascii="Times New Roman" w:hAnsi="Times New Roman"/>
          <w:bCs/>
          <w:sz w:val="28"/>
          <w:szCs w:val="28"/>
        </w:rPr>
      </w:pPr>
      <w:r w:rsidRPr="00A478BF">
        <w:rPr>
          <w:rStyle w:val="10"/>
          <w:rFonts w:ascii="Times New Roman" w:hAnsi="Times New Roman"/>
          <w:bCs/>
          <w:sz w:val="28"/>
          <w:szCs w:val="28"/>
        </w:rPr>
        <w:t>С цел намаляване на загубата от осъществяване на междуселищен превоз на пътници, р</w:t>
      </w:r>
      <w:r w:rsidR="000C0962" w:rsidRPr="00A478BF">
        <w:rPr>
          <w:rStyle w:val="10"/>
          <w:rFonts w:ascii="Times New Roman" w:hAnsi="Times New Roman"/>
          <w:bCs/>
          <w:sz w:val="28"/>
          <w:szCs w:val="28"/>
        </w:rPr>
        <w:t xml:space="preserve">ъководството на дружеството предлага да бъде променена цената на билетите за превоз по междуселищни линии/Приложение 1/. Предлаганите  цени са съобразени със </w:t>
      </w:r>
      <w:r w:rsidR="000C0962">
        <w:rPr>
          <w:rStyle w:val="10"/>
          <w:rFonts w:ascii="Times New Roman" w:hAnsi="Times New Roman"/>
          <w:bCs/>
          <w:sz w:val="28"/>
          <w:szCs w:val="28"/>
        </w:rPr>
        <w:t>спецификата на пътникопотока и населеното място</w:t>
      </w:r>
      <w:r>
        <w:rPr>
          <w:rStyle w:val="10"/>
          <w:rFonts w:ascii="Times New Roman" w:hAnsi="Times New Roman"/>
          <w:bCs/>
          <w:sz w:val="28"/>
          <w:szCs w:val="28"/>
        </w:rPr>
        <w:t xml:space="preserve">, </w:t>
      </w:r>
      <w:r w:rsidRPr="004032D3">
        <w:rPr>
          <w:rStyle w:val="10"/>
          <w:rFonts w:ascii="Times New Roman" w:hAnsi="Times New Roman"/>
          <w:bCs/>
          <w:sz w:val="28"/>
          <w:szCs w:val="28"/>
        </w:rPr>
        <w:t>като</w:t>
      </w:r>
      <w:r w:rsidR="000C0962" w:rsidRPr="004032D3">
        <w:rPr>
          <w:rStyle w:val="10"/>
          <w:rFonts w:ascii="Times New Roman" w:hAnsi="Times New Roman"/>
          <w:bCs/>
          <w:sz w:val="28"/>
          <w:szCs w:val="28"/>
        </w:rPr>
        <w:t xml:space="preserve"> са формирани с увеличение от 0,10лв. на км. в диапазона от 4,00км. до 19,9км. От 20,00км. до 20,9км. цената </w:t>
      </w:r>
      <w:r w:rsidR="00FF37B7" w:rsidRPr="004032D3">
        <w:rPr>
          <w:rStyle w:val="10"/>
          <w:rFonts w:ascii="Times New Roman" w:hAnsi="Times New Roman"/>
          <w:bCs/>
          <w:sz w:val="28"/>
          <w:szCs w:val="28"/>
        </w:rPr>
        <w:t xml:space="preserve">да </w:t>
      </w:r>
      <w:r w:rsidR="000C0962" w:rsidRPr="004032D3">
        <w:rPr>
          <w:rStyle w:val="10"/>
          <w:rFonts w:ascii="Times New Roman" w:hAnsi="Times New Roman"/>
          <w:bCs/>
          <w:sz w:val="28"/>
          <w:szCs w:val="28"/>
        </w:rPr>
        <w:t xml:space="preserve">е 3.20лв. за билет, от 21,00км. до 21,9км. – 3.30лв., от 22,00км. нагоре – 4лв. и до </w:t>
      </w:r>
      <w:r w:rsidRPr="004032D3">
        <w:rPr>
          <w:rStyle w:val="10"/>
          <w:rFonts w:ascii="Times New Roman" w:hAnsi="Times New Roman"/>
          <w:bCs/>
          <w:sz w:val="28"/>
          <w:szCs w:val="28"/>
        </w:rPr>
        <w:t xml:space="preserve">гр. </w:t>
      </w:r>
      <w:r w:rsidR="000C0962" w:rsidRPr="004032D3">
        <w:rPr>
          <w:rStyle w:val="10"/>
          <w:rFonts w:ascii="Times New Roman" w:hAnsi="Times New Roman"/>
          <w:bCs/>
          <w:sz w:val="28"/>
          <w:szCs w:val="28"/>
        </w:rPr>
        <w:t>Севлиево – цена 5.00лв.</w:t>
      </w:r>
    </w:p>
    <w:p w14:paraId="6FBC7E35" w14:textId="6D85420F" w:rsidR="00406EF6" w:rsidRPr="004032D3" w:rsidRDefault="00406EF6" w:rsidP="00FF37B7">
      <w:pPr>
        <w:pStyle w:val="1"/>
      </w:pPr>
      <w:r w:rsidRPr="004032D3">
        <w:rPr>
          <w:rStyle w:val="10"/>
          <w:rFonts w:ascii="Times New Roman" w:hAnsi="Times New Roman"/>
          <w:bCs/>
          <w:sz w:val="28"/>
          <w:szCs w:val="28"/>
        </w:rPr>
        <w:t>Предлагаме при превози по маршрути с дължина до 4,00км. цената на билета да е 1,50 лв. – стойност, съответстваща на цената на билета за градски транспорт.</w:t>
      </w:r>
    </w:p>
    <w:sectPr w:rsidR="00406EF6" w:rsidRPr="004032D3" w:rsidSect="00AF1B2F">
      <w:footerReference w:type="default" r:id="rId17"/>
      <w:pgSz w:w="12240" w:h="15840"/>
      <w:pgMar w:top="794" w:right="1418" w:bottom="340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C98FD" w14:textId="77777777" w:rsidR="009B5F88" w:rsidRDefault="009B5F88">
      <w:r>
        <w:separator/>
      </w:r>
    </w:p>
  </w:endnote>
  <w:endnote w:type="continuationSeparator" w:id="0">
    <w:p w14:paraId="4C963ABB" w14:textId="77777777" w:rsidR="009B5F88" w:rsidRDefault="009B5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7C2E4D" w14:textId="77777777" w:rsidR="000C0962" w:rsidRDefault="000C0962">
    <w:pPr>
      <w:pStyle w:val="14"/>
    </w:pP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F0742" w14:textId="77777777" w:rsidR="009B5F88" w:rsidRDefault="009B5F88">
      <w:r>
        <w:rPr>
          <w:color w:val="000000"/>
        </w:rPr>
        <w:separator/>
      </w:r>
    </w:p>
  </w:footnote>
  <w:footnote w:type="continuationSeparator" w:id="0">
    <w:p w14:paraId="10D56FDE" w14:textId="77777777" w:rsidR="009B5F88" w:rsidRDefault="009B5F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EA1"/>
    <w:rsid w:val="00013253"/>
    <w:rsid w:val="000338A3"/>
    <w:rsid w:val="000A682A"/>
    <w:rsid w:val="000C0962"/>
    <w:rsid w:val="000C6C97"/>
    <w:rsid w:val="000D6988"/>
    <w:rsid w:val="000E6350"/>
    <w:rsid w:val="000E6367"/>
    <w:rsid w:val="00135A9A"/>
    <w:rsid w:val="0014629D"/>
    <w:rsid w:val="00173A19"/>
    <w:rsid w:val="001A66A4"/>
    <w:rsid w:val="001A7BD2"/>
    <w:rsid w:val="00245720"/>
    <w:rsid w:val="002F360D"/>
    <w:rsid w:val="002F5EA1"/>
    <w:rsid w:val="004032D3"/>
    <w:rsid w:val="00406EF6"/>
    <w:rsid w:val="00416C21"/>
    <w:rsid w:val="0041707B"/>
    <w:rsid w:val="004406E8"/>
    <w:rsid w:val="00475A96"/>
    <w:rsid w:val="004B3943"/>
    <w:rsid w:val="005356E9"/>
    <w:rsid w:val="00555D87"/>
    <w:rsid w:val="00577A86"/>
    <w:rsid w:val="00683682"/>
    <w:rsid w:val="006A6951"/>
    <w:rsid w:val="007543EA"/>
    <w:rsid w:val="0077754E"/>
    <w:rsid w:val="00780180"/>
    <w:rsid w:val="007A7C76"/>
    <w:rsid w:val="007B5A77"/>
    <w:rsid w:val="007D68CD"/>
    <w:rsid w:val="008B648D"/>
    <w:rsid w:val="00917BAD"/>
    <w:rsid w:val="009B5F88"/>
    <w:rsid w:val="00A478BF"/>
    <w:rsid w:val="00A90E26"/>
    <w:rsid w:val="00AF1B2F"/>
    <w:rsid w:val="00B00872"/>
    <w:rsid w:val="00B03541"/>
    <w:rsid w:val="00B365A4"/>
    <w:rsid w:val="00B777B0"/>
    <w:rsid w:val="00C04AEF"/>
    <w:rsid w:val="00C361D8"/>
    <w:rsid w:val="00C84763"/>
    <w:rsid w:val="00CD6A9B"/>
    <w:rsid w:val="00D20D65"/>
    <w:rsid w:val="00D27E3B"/>
    <w:rsid w:val="00DF44EF"/>
    <w:rsid w:val="00E23133"/>
    <w:rsid w:val="00E2367F"/>
    <w:rsid w:val="00E848F0"/>
    <w:rsid w:val="00EB4463"/>
    <w:rsid w:val="00F22F04"/>
    <w:rsid w:val="00F87FE6"/>
    <w:rsid w:val="00FC2407"/>
    <w:rsid w:val="00FF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5EBD9"/>
  <w15:docId w15:val="{8DA93E20-9608-4364-97E1-F5CCA74A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jc w:val="both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лавие 11"/>
    <w:basedOn w:val="1"/>
    <w:next w:val="1"/>
    <w:pPr>
      <w:keepNext/>
      <w:keepLines/>
      <w:suppressAutoHyphens w:val="0"/>
      <w:spacing w:before="320" w:after="40"/>
      <w:outlineLvl w:val="0"/>
    </w:pPr>
    <w:rPr>
      <w:rFonts w:ascii="Calibri Light" w:hAnsi="Calibri Light"/>
      <w:b/>
      <w:bCs/>
      <w:caps/>
      <w:spacing w:val="4"/>
      <w:sz w:val="28"/>
      <w:szCs w:val="28"/>
    </w:rPr>
  </w:style>
  <w:style w:type="paragraph" w:customStyle="1" w:styleId="21">
    <w:name w:val="Заглавие 21"/>
    <w:basedOn w:val="1"/>
    <w:next w:val="1"/>
    <w:pPr>
      <w:keepNext/>
      <w:keepLines/>
      <w:suppressAutoHyphens w:val="0"/>
      <w:spacing w:before="120"/>
      <w:outlineLvl w:val="1"/>
    </w:pPr>
    <w:rPr>
      <w:rFonts w:ascii="Calibri Light" w:hAnsi="Calibri Light"/>
      <w:b/>
      <w:bCs/>
      <w:sz w:val="28"/>
      <w:szCs w:val="28"/>
    </w:rPr>
  </w:style>
  <w:style w:type="paragraph" w:customStyle="1" w:styleId="31">
    <w:name w:val="Заглавие 31"/>
    <w:basedOn w:val="1"/>
    <w:next w:val="1"/>
    <w:pPr>
      <w:keepNext/>
      <w:keepLines/>
      <w:suppressAutoHyphens w:val="0"/>
      <w:spacing w:before="120"/>
      <w:outlineLvl w:val="2"/>
    </w:pPr>
    <w:rPr>
      <w:rFonts w:ascii="Calibri Light" w:hAnsi="Calibri Light"/>
      <w:spacing w:val="4"/>
      <w:sz w:val="24"/>
      <w:szCs w:val="24"/>
    </w:rPr>
  </w:style>
  <w:style w:type="paragraph" w:customStyle="1" w:styleId="41">
    <w:name w:val="Заглавие 41"/>
    <w:basedOn w:val="1"/>
    <w:next w:val="1"/>
    <w:pPr>
      <w:keepNext/>
      <w:keepLines/>
      <w:suppressAutoHyphens w:val="0"/>
      <w:spacing w:before="120"/>
      <w:outlineLvl w:val="3"/>
    </w:pPr>
    <w:rPr>
      <w:rFonts w:ascii="Calibri Light" w:hAnsi="Calibri Light"/>
      <w:i/>
      <w:iCs/>
      <w:sz w:val="24"/>
      <w:szCs w:val="24"/>
    </w:rPr>
  </w:style>
  <w:style w:type="paragraph" w:customStyle="1" w:styleId="51">
    <w:name w:val="Заглавие 51"/>
    <w:basedOn w:val="1"/>
    <w:next w:val="1"/>
    <w:pPr>
      <w:keepNext/>
      <w:keepLines/>
      <w:suppressAutoHyphens w:val="0"/>
      <w:spacing w:before="120"/>
      <w:outlineLvl w:val="4"/>
    </w:pPr>
    <w:rPr>
      <w:rFonts w:ascii="Calibri Light" w:hAnsi="Calibri Light"/>
      <w:b/>
      <w:bCs/>
    </w:rPr>
  </w:style>
  <w:style w:type="paragraph" w:customStyle="1" w:styleId="61">
    <w:name w:val="Заглавие 61"/>
    <w:basedOn w:val="1"/>
    <w:next w:val="1"/>
    <w:pPr>
      <w:keepNext/>
      <w:keepLines/>
      <w:suppressAutoHyphens w:val="0"/>
      <w:spacing w:before="120"/>
      <w:outlineLvl w:val="5"/>
    </w:pPr>
    <w:rPr>
      <w:rFonts w:ascii="Calibri Light" w:hAnsi="Calibri Light"/>
      <w:b/>
      <w:bCs/>
      <w:i/>
      <w:iCs/>
    </w:rPr>
  </w:style>
  <w:style w:type="paragraph" w:customStyle="1" w:styleId="71">
    <w:name w:val="Заглавие 71"/>
    <w:basedOn w:val="1"/>
    <w:next w:val="1"/>
    <w:pPr>
      <w:keepNext/>
      <w:keepLines/>
      <w:suppressAutoHyphens w:val="0"/>
      <w:spacing w:before="120"/>
      <w:outlineLvl w:val="6"/>
    </w:pPr>
    <w:rPr>
      <w:i/>
      <w:iCs/>
    </w:rPr>
  </w:style>
  <w:style w:type="paragraph" w:customStyle="1" w:styleId="81">
    <w:name w:val="Заглавие 81"/>
    <w:basedOn w:val="1"/>
    <w:next w:val="1"/>
    <w:pPr>
      <w:keepNext/>
      <w:keepLines/>
      <w:suppressAutoHyphens w:val="0"/>
      <w:spacing w:before="120"/>
      <w:outlineLvl w:val="7"/>
    </w:pPr>
    <w:rPr>
      <w:b/>
      <w:bCs/>
    </w:rPr>
  </w:style>
  <w:style w:type="paragraph" w:customStyle="1" w:styleId="91">
    <w:name w:val="Заглавие 91"/>
    <w:basedOn w:val="1"/>
    <w:next w:val="1"/>
    <w:pPr>
      <w:keepNext/>
      <w:keepLines/>
      <w:suppressAutoHyphens w:val="0"/>
      <w:spacing w:before="120"/>
      <w:outlineLvl w:val="8"/>
    </w:pPr>
    <w:rPr>
      <w:i/>
      <w:iCs/>
    </w:rPr>
  </w:style>
  <w:style w:type="paragraph" w:customStyle="1" w:styleId="1">
    <w:name w:val="Нормален1"/>
    <w:pPr>
      <w:suppressAutoHyphens/>
    </w:pPr>
  </w:style>
  <w:style w:type="character" w:customStyle="1" w:styleId="10">
    <w:name w:val="Шрифт на абзаца по подразбиране1"/>
  </w:style>
  <w:style w:type="paragraph" w:customStyle="1" w:styleId="12">
    <w:name w:val="Списък на абзаци1"/>
    <w:basedOn w:val="1"/>
    <w:pPr>
      <w:suppressAutoHyphens w:val="0"/>
      <w:ind w:left="720"/>
    </w:pPr>
  </w:style>
  <w:style w:type="paragraph" w:customStyle="1" w:styleId="13">
    <w:name w:val="Горен колонтитул1"/>
    <w:basedOn w:val="1"/>
    <w:pPr>
      <w:tabs>
        <w:tab w:val="center" w:pos="4536"/>
        <w:tab w:val="right" w:pos="9072"/>
      </w:tabs>
      <w:suppressAutoHyphens w:val="0"/>
    </w:pPr>
  </w:style>
  <w:style w:type="character" w:customStyle="1" w:styleId="HeaderChar">
    <w:name w:val="Header Char"/>
    <w:basedOn w:val="10"/>
  </w:style>
  <w:style w:type="paragraph" w:customStyle="1" w:styleId="14">
    <w:name w:val="Долен колонтитул1"/>
    <w:basedOn w:val="1"/>
    <w:pPr>
      <w:tabs>
        <w:tab w:val="center" w:pos="4536"/>
        <w:tab w:val="right" w:pos="9072"/>
      </w:tabs>
      <w:suppressAutoHyphens w:val="0"/>
    </w:pPr>
  </w:style>
  <w:style w:type="character" w:customStyle="1" w:styleId="FooterChar">
    <w:name w:val="Footer Char"/>
    <w:basedOn w:val="10"/>
  </w:style>
  <w:style w:type="character" w:customStyle="1" w:styleId="Heading2Char">
    <w:name w:val="Heading 2 Char"/>
    <w:basedOn w:val="10"/>
    <w:rPr>
      <w:rFonts w:ascii="Calibri Light" w:eastAsia="Times New Roman" w:hAnsi="Calibri Light" w:cs="Times New Roman"/>
      <w:b/>
      <w:bCs/>
      <w:sz w:val="28"/>
      <w:szCs w:val="28"/>
    </w:rPr>
  </w:style>
  <w:style w:type="paragraph" w:customStyle="1" w:styleId="15">
    <w:name w:val="Нормален (уеб)1"/>
    <w:basedOn w:val="1"/>
    <w:pPr>
      <w:suppressAutoHyphens w:val="0"/>
      <w:spacing w:before="100" w:after="100"/>
    </w:pPr>
    <w:rPr>
      <w:rFonts w:ascii="Times New Roman" w:hAnsi="Times New Roman"/>
      <w:sz w:val="24"/>
      <w:szCs w:val="24"/>
      <w:lang w:eastAsia="bg-BG"/>
    </w:rPr>
  </w:style>
  <w:style w:type="paragraph" w:customStyle="1" w:styleId="Default">
    <w:name w:val="Default"/>
    <w:pPr>
      <w:autoSpaceDE w:val="0"/>
    </w:pPr>
    <w:rPr>
      <w:rFonts w:ascii="Times New Roman" w:hAnsi="Times New Roman"/>
      <w:color w:val="000000"/>
      <w:sz w:val="24"/>
      <w:szCs w:val="24"/>
      <w:lang w:eastAsia="bg-BG"/>
    </w:rPr>
  </w:style>
  <w:style w:type="character" w:customStyle="1" w:styleId="Heading1Char">
    <w:name w:val="Heading 1 Char"/>
    <w:basedOn w:val="10"/>
    <w:rPr>
      <w:rFonts w:ascii="Calibri Light" w:eastAsia="Times New Roman" w:hAnsi="Calibri Light" w:cs="Times New Roman"/>
      <w:b/>
      <w:bCs/>
      <w:caps/>
      <w:spacing w:val="4"/>
      <w:sz w:val="28"/>
      <w:szCs w:val="28"/>
    </w:rPr>
  </w:style>
  <w:style w:type="character" w:customStyle="1" w:styleId="Heading3Char">
    <w:name w:val="Heading 3 Char"/>
    <w:basedOn w:val="10"/>
    <w:rPr>
      <w:rFonts w:ascii="Calibri Light" w:eastAsia="Times New Roman" w:hAnsi="Calibri Light" w:cs="Times New Roman"/>
      <w:spacing w:val="4"/>
      <w:sz w:val="24"/>
      <w:szCs w:val="24"/>
    </w:rPr>
  </w:style>
  <w:style w:type="character" w:customStyle="1" w:styleId="Heading4Char">
    <w:name w:val="Heading 4 Char"/>
    <w:basedOn w:val="10"/>
    <w:rPr>
      <w:rFonts w:ascii="Calibri Light" w:eastAsia="Times New Roman" w:hAnsi="Calibri Light" w:cs="Times New Roman"/>
      <w:i/>
      <w:iCs/>
      <w:sz w:val="24"/>
      <w:szCs w:val="24"/>
    </w:rPr>
  </w:style>
  <w:style w:type="character" w:customStyle="1" w:styleId="Heading5Char">
    <w:name w:val="Heading 5 Char"/>
    <w:basedOn w:val="10"/>
    <w:rPr>
      <w:rFonts w:ascii="Calibri Light" w:eastAsia="Times New Roman" w:hAnsi="Calibri Light" w:cs="Times New Roman"/>
      <w:b/>
      <w:bCs/>
    </w:rPr>
  </w:style>
  <w:style w:type="character" w:customStyle="1" w:styleId="Heading6Char">
    <w:name w:val="Heading 6 Char"/>
    <w:basedOn w:val="10"/>
    <w:rPr>
      <w:rFonts w:ascii="Calibri Light" w:eastAsia="Times New Roman" w:hAnsi="Calibri Light" w:cs="Times New Roman"/>
      <w:b/>
      <w:bCs/>
      <w:i/>
      <w:iCs/>
    </w:rPr>
  </w:style>
  <w:style w:type="character" w:customStyle="1" w:styleId="Heading7Char">
    <w:name w:val="Heading 7 Char"/>
    <w:basedOn w:val="10"/>
    <w:rPr>
      <w:i/>
      <w:iCs/>
    </w:rPr>
  </w:style>
  <w:style w:type="character" w:customStyle="1" w:styleId="Heading8Char">
    <w:name w:val="Heading 8 Char"/>
    <w:basedOn w:val="10"/>
    <w:rPr>
      <w:b/>
      <w:bCs/>
    </w:rPr>
  </w:style>
  <w:style w:type="character" w:customStyle="1" w:styleId="Heading9Char">
    <w:name w:val="Heading 9 Char"/>
    <w:basedOn w:val="10"/>
    <w:rPr>
      <w:i/>
      <w:iCs/>
    </w:rPr>
  </w:style>
  <w:style w:type="paragraph" w:customStyle="1" w:styleId="16">
    <w:name w:val="Надпис1"/>
    <w:basedOn w:val="1"/>
    <w:next w:val="1"/>
    <w:pPr>
      <w:suppressAutoHyphens w:val="0"/>
    </w:pPr>
    <w:rPr>
      <w:b/>
      <w:bCs/>
      <w:sz w:val="18"/>
      <w:szCs w:val="18"/>
    </w:rPr>
  </w:style>
  <w:style w:type="paragraph" w:customStyle="1" w:styleId="17">
    <w:name w:val="Заглавие1"/>
    <w:basedOn w:val="1"/>
    <w:next w:val="1"/>
    <w:pPr>
      <w:suppressAutoHyphens w:val="0"/>
      <w:jc w:val="center"/>
    </w:pPr>
    <w:rPr>
      <w:rFonts w:ascii="Calibri Light" w:hAnsi="Calibri Light"/>
      <w:b/>
      <w:bCs/>
      <w:spacing w:val="-7"/>
      <w:sz w:val="48"/>
      <w:szCs w:val="48"/>
    </w:rPr>
  </w:style>
  <w:style w:type="character" w:customStyle="1" w:styleId="TitleChar">
    <w:name w:val="Title Char"/>
    <w:basedOn w:val="10"/>
    <w:rPr>
      <w:rFonts w:ascii="Calibri Light" w:eastAsia="Times New Roman" w:hAnsi="Calibri Light" w:cs="Times New Roman"/>
      <w:b/>
      <w:bCs/>
      <w:spacing w:val="-7"/>
      <w:sz w:val="48"/>
      <w:szCs w:val="48"/>
    </w:rPr>
  </w:style>
  <w:style w:type="paragraph" w:customStyle="1" w:styleId="18">
    <w:name w:val="Подзаглавие1"/>
    <w:basedOn w:val="1"/>
    <w:next w:val="1"/>
    <w:pPr>
      <w:suppressAutoHyphens w:val="0"/>
      <w:spacing w:after="240"/>
      <w:jc w:val="center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10"/>
    <w:rPr>
      <w:rFonts w:ascii="Calibri Light" w:eastAsia="Times New Roman" w:hAnsi="Calibri Light" w:cs="Times New Roman"/>
      <w:sz w:val="24"/>
      <w:szCs w:val="24"/>
    </w:rPr>
  </w:style>
  <w:style w:type="character" w:customStyle="1" w:styleId="19">
    <w:name w:val="Строг1"/>
    <w:basedOn w:val="10"/>
    <w:rPr>
      <w:b/>
      <w:bCs/>
      <w:color w:val="auto"/>
    </w:rPr>
  </w:style>
  <w:style w:type="character" w:customStyle="1" w:styleId="1a">
    <w:name w:val="Акцентиран1"/>
    <w:basedOn w:val="10"/>
    <w:rPr>
      <w:i/>
      <w:iCs/>
      <w:color w:val="auto"/>
    </w:rPr>
  </w:style>
  <w:style w:type="paragraph" w:customStyle="1" w:styleId="1b">
    <w:name w:val="Без разредка1"/>
  </w:style>
  <w:style w:type="paragraph" w:customStyle="1" w:styleId="1c">
    <w:name w:val="Цитат1"/>
    <w:basedOn w:val="1"/>
    <w:next w:val="1"/>
    <w:pPr>
      <w:suppressAutoHyphens w:val="0"/>
      <w:spacing w:before="200" w:line="264" w:lineRule="auto"/>
      <w:ind w:left="864" w:right="864"/>
      <w:jc w:val="center"/>
    </w:pPr>
    <w:rPr>
      <w:rFonts w:ascii="Calibri Light" w:hAnsi="Calibri Light"/>
      <w:i/>
      <w:iCs/>
      <w:sz w:val="24"/>
      <w:szCs w:val="24"/>
    </w:rPr>
  </w:style>
  <w:style w:type="character" w:customStyle="1" w:styleId="QuoteChar">
    <w:name w:val="Quote Char"/>
    <w:basedOn w:val="10"/>
    <w:rPr>
      <w:rFonts w:ascii="Calibri Light" w:eastAsia="Times New Roman" w:hAnsi="Calibri Light" w:cs="Times New Roman"/>
      <w:i/>
      <w:iCs/>
      <w:sz w:val="24"/>
      <w:szCs w:val="24"/>
    </w:rPr>
  </w:style>
  <w:style w:type="paragraph" w:customStyle="1" w:styleId="1d">
    <w:name w:val="Интензивно цитиране1"/>
    <w:basedOn w:val="1"/>
    <w:next w:val="1"/>
    <w:pPr>
      <w:suppressAutoHyphens w:val="0"/>
      <w:spacing w:before="100" w:after="240"/>
      <w:ind w:left="936" w:right="936"/>
      <w:jc w:val="center"/>
    </w:pPr>
    <w:rPr>
      <w:rFonts w:ascii="Calibri Light" w:hAnsi="Calibri Light"/>
      <w:sz w:val="26"/>
      <w:szCs w:val="26"/>
    </w:rPr>
  </w:style>
  <w:style w:type="character" w:customStyle="1" w:styleId="IntenseQuoteChar">
    <w:name w:val="Intense Quote Char"/>
    <w:basedOn w:val="10"/>
    <w:rPr>
      <w:rFonts w:ascii="Calibri Light" w:eastAsia="Times New Roman" w:hAnsi="Calibri Light" w:cs="Times New Roman"/>
      <w:sz w:val="26"/>
      <w:szCs w:val="26"/>
    </w:rPr>
  </w:style>
  <w:style w:type="character" w:customStyle="1" w:styleId="1e">
    <w:name w:val="Бледо акцентиран1"/>
    <w:basedOn w:val="10"/>
    <w:rPr>
      <w:i/>
      <w:iCs/>
      <w:color w:val="auto"/>
    </w:rPr>
  </w:style>
  <w:style w:type="character" w:customStyle="1" w:styleId="1f">
    <w:name w:val="Интензивно акцентиран1"/>
    <w:basedOn w:val="10"/>
    <w:rPr>
      <w:b/>
      <w:bCs/>
      <w:i/>
      <w:iCs/>
      <w:color w:val="auto"/>
    </w:rPr>
  </w:style>
  <w:style w:type="character" w:customStyle="1" w:styleId="1f0">
    <w:name w:val="Бледа препратка1"/>
    <w:basedOn w:val="10"/>
    <w:rPr>
      <w:smallCaps/>
      <w:color w:val="auto"/>
      <w:u w:val="single" w:color="7F7F7F"/>
    </w:rPr>
  </w:style>
  <w:style w:type="character" w:customStyle="1" w:styleId="1f1">
    <w:name w:val="Интензивна препратка1"/>
    <w:basedOn w:val="10"/>
    <w:rPr>
      <w:b/>
      <w:bCs/>
      <w:smallCaps/>
      <w:color w:val="auto"/>
      <w:u w:val="single"/>
    </w:rPr>
  </w:style>
  <w:style w:type="character" w:customStyle="1" w:styleId="1f2">
    <w:name w:val="Заглавие на книга1"/>
    <w:basedOn w:val="10"/>
    <w:rPr>
      <w:b/>
      <w:bCs/>
      <w:smallCaps/>
      <w:color w:val="auto"/>
    </w:rPr>
  </w:style>
  <w:style w:type="paragraph" w:customStyle="1" w:styleId="1f3">
    <w:name w:val="Заглавие от съдържание1"/>
    <w:basedOn w:val="11"/>
    <w:next w:val="1"/>
  </w:style>
  <w:style w:type="paragraph" w:customStyle="1" w:styleId="1f4">
    <w:name w:val="Текст под линия1"/>
    <w:basedOn w:val="1"/>
    <w:pPr>
      <w:suppressAutoHyphens w:val="0"/>
    </w:pPr>
    <w:rPr>
      <w:sz w:val="20"/>
      <w:szCs w:val="20"/>
    </w:rPr>
  </w:style>
  <w:style w:type="character" w:customStyle="1" w:styleId="FootnoteTextChar">
    <w:name w:val="Footnote Text Char"/>
    <w:basedOn w:val="10"/>
    <w:rPr>
      <w:sz w:val="20"/>
      <w:szCs w:val="20"/>
    </w:rPr>
  </w:style>
  <w:style w:type="character" w:customStyle="1" w:styleId="1f5">
    <w:name w:val="Препратка към бележка под линия1"/>
    <w:basedOn w:val="10"/>
    <w:rPr>
      <w:position w:val="0"/>
      <w:vertAlign w:val="superscript"/>
    </w:rPr>
  </w:style>
  <w:style w:type="character" w:styleId="a3">
    <w:name w:val="annotation reference"/>
    <w:basedOn w:val="10"/>
    <w:rPr>
      <w:sz w:val="16"/>
      <w:szCs w:val="16"/>
    </w:rPr>
  </w:style>
  <w:style w:type="paragraph" w:styleId="a4">
    <w:name w:val="annotation text"/>
    <w:basedOn w:val="1"/>
    <w:pPr>
      <w:suppressAutoHyphens w:val="0"/>
    </w:pPr>
    <w:rPr>
      <w:sz w:val="20"/>
      <w:szCs w:val="20"/>
    </w:rPr>
  </w:style>
  <w:style w:type="character" w:customStyle="1" w:styleId="CommentTextChar">
    <w:name w:val="Comment Text Char"/>
    <w:basedOn w:val="10"/>
    <w:rPr>
      <w:sz w:val="20"/>
      <w:szCs w:val="20"/>
    </w:rPr>
  </w:style>
  <w:style w:type="paragraph" w:styleId="a5">
    <w:name w:val="annotation subject"/>
    <w:basedOn w:val="a4"/>
    <w:next w:val="a4"/>
    <w:rPr>
      <w:b/>
      <w:bCs/>
    </w:rPr>
  </w:style>
  <w:style w:type="character" w:customStyle="1" w:styleId="CommentSubjectChar">
    <w:name w:val="Comment Subject Char"/>
    <w:basedOn w:val="CommentTextChar"/>
    <w:rPr>
      <w:b/>
      <w:bCs/>
      <w:sz w:val="20"/>
      <w:szCs w:val="20"/>
    </w:rPr>
  </w:style>
  <w:style w:type="paragraph" w:customStyle="1" w:styleId="1f6">
    <w:name w:val="Изнесен текст1"/>
    <w:basedOn w:val="1"/>
    <w:pPr>
      <w:suppressAutoHyphens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10"/>
    <w:rPr>
      <w:rFonts w:ascii="Tahoma" w:hAnsi="Tahoma" w:cs="Tahoma"/>
      <w:sz w:val="16"/>
      <w:szCs w:val="16"/>
    </w:rPr>
  </w:style>
  <w:style w:type="character" w:customStyle="1" w:styleId="FooterChar1">
    <w:name w:val="Footer Char1"/>
    <w:basedOn w:val="10"/>
  </w:style>
  <w:style w:type="character" w:customStyle="1" w:styleId="FooterChar2">
    <w:name w:val="Footer Char2"/>
    <w:basedOn w:val="10"/>
  </w:style>
  <w:style w:type="character" w:customStyle="1" w:styleId="FooterChar3">
    <w:name w:val="Footer Char3"/>
    <w:basedOn w:val="10"/>
  </w:style>
  <w:style w:type="character" w:customStyle="1" w:styleId="FooterChar4">
    <w:name w:val="Footer Char4"/>
    <w:basedOn w:val="10"/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FooterChar5">
    <w:name w:val="Footer Char5"/>
    <w:basedOn w:val="a0"/>
  </w:style>
  <w:style w:type="table" w:styleId="a7">
    <w:name w:val="Table Grid"/>
    <w:basedOn w:val="a1"/>
    <w:uiPriority w:val="39"/>
    <w:rsid w:val="00E23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7754E"/>
    <w:pPr>
      <w:tabs>
        <w:tab w:val="center" w:pos="4536"/>
        <w:tab w:val="right" w:pos="9072"/>
      </w:tabs>
    </w:pPr>
  </w:style>
  <w:style w:type="character" w:customStyle="1" w:styleId="a9">
    <w:name w:val="Горен колонтитул Знак"/>
    <w:basedOn w:val="a0"/>
    <w:link w:val="a8"/>
    <w:uiPriority w:val="99"/>
    <w:rsid w:val="00777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12" Type="http://schemas.openxmlformats.org/officeDocument/2006/relationships/package" Target="embeddings/Microsoft_Excel_Worksheet2.xlsx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package" Target="embeddings/Microsoft_Excel_Worksheet4.xlsx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emf"/><Relationship Id="rId5" Type="http://schemas.openxmlformats.org/officeDocument/2006/relationships/endnotes" Target="endnotes.xml"/><Relationship Id="rId15" Type="http://schemas.openxmlformats.org/officeDocument/2006/relationships/image" Target="media/image6.emf"/><Relationship Id="rId10" Type="http://schemas.openxmlformats.org/officeDocument/2006/relationships/package" Target="embeddings/Microsoft_Excel_Worksheet1.xlsx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package" Target="embeddings/Microsoft_Excel_Worksheet3.xlsx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NULL" TargetMode="External"/><Relationship Id="rId1" Type="http://schemas.openxmlformats.org/officeDocument/2006/relationships/image" Target="../media/image2.pn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bg-BG"/>
  <c:roundedCorners val="0"/>
  <c:style val="2"/>
  <c:chart>
    <c:title>
      <c:tx>
        <c:rich>
          <a:bodyPr lIns="0" tIns="0" rIns="0" bIns="0"/>
          <a:lstStyle/>
          <a:p>
            <a:pPr marL="0" marR="0" indent="0" algn="ctr" defTabSz="914400" fontAlgn="auto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tabLst/>
              <a:defRPr lang="bg-BG" sz="1800" b="1" i="0" u="none" strike="noStrike" kern="1200" baseline="0">
                <a:solidFill>
                  <a:srgbClr val="404040"/>
                </a:solidFill>
                <a:latin typeface="Calibri"/>
              </a:defRPr>
            </a:pPr>
            <a:r>
              <a:rPr lang="bg-BG" sz="1800" b="1" i="0" u="none" strike="noStrike" kern="1200" cap="none" spc="0" baseline="0">
                <a:solidFill>
                  <a:srgbClr val="404040"/>
                </a:solidFill>
                <a:uFillTx/>
                <a:latin typeface="Calibri"/>
              </a:rPr>
              <a:t>Приходи, хил.лв.</a:t>
            </a:r>
          </a:p>
        </c:rich>
      </c:tx>
      <c:layout>
        <c:manualLayout>
          <c:xMode val="edge"/>
          <c:yMode val="edge"/>
          <c:x val="0.28784212992333302"/>
          <c:y val="0.87558743507296566"/>
        </c:manualLayout>
      </c:layout>
      <c:overlay val="0"/>
      <c:spPr>
        <a:noFill/>
        <a:ln>
          <a:noFill/>
        </a:ln>
      </c:spPr>
    </c:title>
    <c:autoTitleDeleted val="0"/>
    <c:view3D>
      <c:rotX val="33"/>
      <c:rotY val="360"/>
      <c:rAngAx val="0"/>
    </c:view3D>
    <c:floor>
      <c:thickness val="0"/>
      <c:spPr>
        <a:noFill/>
        <a:ln>
          <a:noFill/>
        </a:ln>
      </c:spPr>
    </c:floor>
    <c:sideWall>
      <c:thickness val="0"/>
      <c:spPr>
        <a:noFill/>
        <a:ln>
          <a:noFill/>
        </a:ln>
      </c:spPr>
    </c:sideWall>
    <c:backWall>
      <c:thickness val="0"/>
      <c:spPr>
        <a:noFill/>
        <a:ln>
          <a:noFill/>
        </a:ln>
      </c:spPr>
    </c:backWall>
    <c:plotArea>
      <c:layout/>
      <c:pie3DChart>
        <c:varyColors val="1"/>
        <c:ser>
          <c:idx val="0"/>
          <c:order val="0"/>
          <c:tx>
            <c:v>Приходи, хил.лв.</c:v>
          </c:tx>
          <c:dPt>
            <c:idx val="0"/>
            <c:bubble3D val="0"/>
            <c:spPr>
              <a:solidFill>
                <a:srgbClr val="4472C4"/>
              </a:solidFill>
              <a:ln>
                <a:noFill/>
              </a:ln>
              <a:effectLst>
                <a:outerShdw dir="16200000" algn="tl">
                  <a:srgbClr val="000000">
                    <a:alpha val="20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17D9-476C-B1D1-6BC94D811966}"/>
              </c:ext>
            </c:extLst>
          </c:dPt>
          <c:dPt>
            <c:idx val="1"/>
            <c:bubble3D val="0"/>
            <c:spPr>
              <a:solidFill>
                <a:srgbClr val="ED7D31"/>
              </a:solidFill>
              <a:ln>
                <a:noFill/>
              </a:ln>
              <a:effectLst>
                <a:outerShdw dir="16200000" algn="tl">
                  <a:srgbClr val="000000">
                    <a:alpha val="20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7D9-476C-B1D1-6BC94D811966}"/>
              </c:ext>
            </c:extLst>
          </c:dPt>
          <c:dPt>
            <c:idx val="2"/>
            <c:bubble3D val="0"/>
            <c:spPr>
              <a:solidFill>
                <a:srgbClr val="A5A5A5"/>
              </a:solidFill>
              <a:ln>
                <a:noFill/>
              </a:ln>
              <a:effectLst>
                <a:outerShdw dir="16200000" algn="tl">
                  <a:srgbClr val="000000">
                    <a:alpha val="20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17D9-476C-B1D1-6BC94D811966}"/>
              </c:ext>
            </c:extLst>
          </c:dPt>
          <c:dLbls>
            <c:dLbl>
              <c:idx val="0"/>
              <c:spPr>
                <a:blipFill>
                  <a:blip xmlns:r="http://schemas.openxmlformats.org/officeDocument/2006/relationships" r:embed="rId1"/>
                  <a:tile/>
                </a:blipFill>
                <a:ln>
                  <a:noFill/>
                </a:ln>
                <a:effectLst>
                  <a:outerShdw dist="38096" dir="2700000" algn="tl">
                    <a:srgbClr val="000000">
                      <a:alpha val="40000"/>
                    </a:srgbClr>
                  </a:outerShdw>
                </a:effectLst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lang="bg-BG" sz="1000" b="1" i="0" u="none" strike="noStrike" kern="1200" baseline="0">
                      <a:solidFill>
                        <a:srgbClr val="FFFFFF"/>
                      </a:solidFill>
                      <a:latin typeface="Calibri"/>
                    </a:defRPr>
                  </a:pPr>
                  <a:endParaRPr lang="bg-BG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17D9-476C-B1D1-6BC94D811966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1"/>
              <c:spPr>
                <a:blipFill>
                  <a:blip xmlns:r="http://schemas.openxmlformats.org/officeDocument/2006/relationships" r:embed="rId1"/>
                  <a:tile/>
                </a:blipFill>
                <a:ln>
                  <a:noFill/>
                </a:ln>
                <a:effectLst>
                  <a:outerShdw dist="38096" dir="2700000" algn="tl">
                    <a:srgbClr val="000000">
                      <a:alpha val="40000"/>
                    </a:srgbClr>
                  </a:outerShdw>
                </a:effectLst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lang="bg-BG" sz="1000" b="1" i="0" u="none" strike="noStrike" kern="1200" baseline="0">
                      <a:solidFill>
                        <a:srgbClr val="FFFFFF"/>
                      </a:solidFill>
                      <a:latin typeface="Calibri"/>
                    </a:defRPr>
                  </a:pPr>
                  <a:endParaRPr lang="bg-BG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7D9-476C-B1D1-6BC94D811966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dLbl>
              <c:idx val="2"/>
              <c:layout>
                <c:manualLayout>
                  <c:x val="2.2350138697117827E-2"/>
                  <c:y val="-0.26595398676822579"/>
                </c:manualLayout>
              </c:layout>
              <c:spPr>
                <a:blipFill>
                  <a:blip xmlns:r="http://schemas.openxmlformats.org/officeDocument/2006/relationships" r:embed="rId1"/>
                  <a:tile/>
                </a:blipFill>
                <a:ln>
                  <a:noFill/>
                </a:ln>
                <a:effectLst>
                  <a:outerShdw dist="38096" dir="2700000" algn="tl">
                    <a:srgbClr val="000000">
                      <a:alpha val="40000"/>
                    </a:srgbClr>
                  </a:outerShdw>
                </a:effectLst>
              </c:spPr>
              <c:txPr>
                <a:bodyPr lIns="0" tIns="0" rIns="0" bIns="0"/>
                <a:lstStyle/>
                <a:p>
                  <a:pPr marL="0" marR="0" indent="0" algn="ctr" defTabSz="914400" fontAlgn="auto" hangingPunct="1">
                    <a:lnSpc>
                      <a:spcPct val="100000"/>
                    </a:lnSpc>
                    <a:spcBef>
                      <a:spcPts val="0"/>
                    </a:spcBef>
                    <a:spcAft>
                      <a:spcPts val="0"/>
                    </a:spcAft>
                    <a:tabLst/>
                    <a:defRPr lang="bg-BG" sz="1000" b="1" i="0" u="none" strike="noStrike" kern="1200" baseline="0">
                      <a:solidFill>
                        <a:srgbClr val="FFFFFF"/>
                      </a:solidFill>
                      <a:latin typeface="Calibri"/>
                    </a:defRPr>
                  </a:pPr>
                  <a:endParaRPr lang="bg-BG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separator>, </c:separator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17D9-476C-B1D1-6BC94D811966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</c:ext>
              </c:extLst>
            </c:dLbl>
            <c:spPr>
              <a:blipFill>
                <a:blip xmlns:r="http://schemas.openxmlformats.org/officeDocument/2006/relationships" r:embed="rId1"/>
                <a:tile/>
              </a:blipFill>
              <a:ln>
                <a:noFill/>
              </a:ln>
              <a:effectLst>
                <a:outerShdw dist="38096" dir="2700000" algn="tl">
                  <a:srgbClr val="000000">
                    <a:alpha val="40000"/>
                  </a:srgbClr>
                </a:outerShdw>
              </a:effectLst>
            </c:spPr>
            <c:txPr>
              <a:bodyPr lIns="0" tIns="0" rIns="0" bIns="0"/>
              <a:lstStyle/>
              <a:p>
                <a:pPr marL="0" marR="0" indent="0" algn="ctr" defTabSz="914400" fontAlgn="auto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tabLst/>
                  <a:defRPr lang="bg-BG" sz="1000" b="1" i="0" u="none" strike="noStrike" kern="1200" baseline="0">
                    <a:solidFill>
                      <a:srgbClr val="FFFFFF"/>
                    </a:solidFill>
                    <a:latin typeface="Calibri"/>
                  </a:defRPr>
                </a:pPr>
                <a:endParaRPr lang="bg-BG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, </c:separator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Lit>
              <c:ptCount val="3"/>
              <c:pt idx="0">
                <c:v>от билети и аб.карти</c:v>
              </c:pt>
              <c:pt idx="1">
                <c:v>от компенсации и субсидии</c:v>
              </c:pt>
              <c:pt idx="2">
                <c:v>помощ мярка 60/40</c:v>
              </c:pt>
            </c:strLit>
          </c:cat>
          <c:val>
            <c:numLit>
              <c:formatCode>General</c:formatCode>
              <c:ptCount val="3"/>
              <c:pt idx="0">
                <c:v>1039</c:v>
              </c:pt>
              <c:pt idx="1">
                <c:v>889</c:v>
              </c:pt>
              <c:pt idx="2">
                <c:v>827</c:v>
              </c:pt>
            </c:numLit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7D9-468F-BAA9-7557CE96F9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</c:spPr>
    </c:plotArea>
    <c:legend>
      <c:legendPos val="r"/>
      <c:overlay val="0"/>
      <c:spPr>
        <a:solidFill>
          <a:srgbClr val="F2F2F2">
            <a:alpha val="39000"/>
          </a:srgbClr>
        </a:solidFill>
        <a:ln>
          <a:noFill/>
        </a:ln>
      </c:spPr>
      <c:txPr>
        <a:bodyPr lIns="0" tIns="0" rIns="0" bIns="0"/>
        <a:lstStyle/>
        <a:p>
          <a:pPr marL="0" marR="0" indent="0" defTabSz="914400" fontAlgn="auto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tabLst/>
            <a:defRPr lang="bg-BG" sz="900" b="0" i="0" u="none" strike="noStrike" kern="1200" baseline="0">
              <a:solidFill>
                <a:srgbClr val="404040"/>
              </a:solidFill>
              <a:latin typeface="Calibri"/>
            </a:defRPr>
          </a:pPr>
          <a:endParaRPr lang="bg-BG"/>
        </a:p>
      </c:txPr>
    </c:legend>
    <c:plotVisOnly val="1"/>
    <c:dispBlanksAs val="gap"/>
    <c:showDLblsOverMax val="0"/>
  </c:chart>
  <c:spPr>
    <a:gradFill>
      <a:gsLst>
        <a:gs pos="0">
          <a:srgbClr val="FFFFFF"/>
        </a:gs>
        <a:gs pos="100000">
          <a:srgbClr val="FFFFFF"/>
        </a:gs>
      </a:gsLst>
      <a:path path="circle">
        <a:fillToRect l="50000" t="-80000" r="50000" b="180000"/>
      </a:path>
    </a:gradFill>
    <a:ln w="9528" cap="flat">
      <a:solidFill>
        <a:srgbClr val="BFBFBF"/>
      </a:solidFill>
      <a:prstDash val="solid"/>
      <a:round/>
    </a:ln>
  </c:spPr>
  <c:txPr>
    <a:bodyPr lIns="0" tIns="0" rIns="0" bIns="0"/>
    <a:lstStyle/>
    <a:p>
      <a:pPr marL="0" marR="0" indent="0" algn="just" defTabSz="914400" fontAlgn="auto" hangingPunct="1">
        <a:lnSpc>
          <a:spcPct val="100000"/>
        </a:lnSpc>
        <a:spcBef>
          <a:spcPts val="0"/>
        </a:spcBef>
        <a:spcAft>
          <a:spcPts val="0"/>
        </a:spcAft>
        <a:tabLst/>
        <a:defRPr lang="en-US" sz="1000" b="0" i="0" u="none" strike="noStrike" kern="1200" baseline="0">
          <a:solidFill>
            <a:srgbClr val="000000"/>
          </a:solidFill>
          <a:latin typeface="Calibri"/>
        </a:defRPr>
      </a:pPr>
      <a:endParaRPr lang="bg-BG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1398</Words>
  <Characters>7973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Reneta.Terziiska</dc:creator>
  <dc:description/>
  <cp:lastModifiedBy>Мария Йозова</cp:lastModifiedBy>
  <cp:revision>4</cp:revision>
  <cp:lastPrinted>2022-04-11T11:58:00Z</cp:lastPrinted>
  <dcterms:created xsi:type="dcterms:W3CDTF">2022-04-13T13:57:00Z</dcterms:created>
  <dcterms:modified xsi:type="dcterms:W3CDTF">2022-04-13T14:47:00Z</dcterms:modified>
</cp:coreProperties>
</file>